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58620835"/>
        <w:docPartObj>
          <w:docPartGallery w:val="Cover Pages"/>
          <w:docPartUnique/>
        </w:docPartObj>
      </w:sdtPr>
      <w:sdtEndPr/>
      <w:sdtContent>
        <w:p w14:paraId="29ACF968" w14:textId="325CEA89" w:rsidR="00EA2837" w:rsidRDefault="008E27FE" w:rsidP="00EA2F2D">
          <w:r>
            <w:rPr>
              <w:noProof/>
            </w:rPr>
            <w:drawing>
              <wp:anchor distT="0" distB="0" distL="114300" distR="114300" simplePos="0" relativeHeight="251664384" behindDoc="1" locked="0" layoutInCell="1" allowOverlap="1" wp14:anchorId="05852ACB" wp14:editId="6CA38FD0">
                <wp:simplePos x="0" y="0"/>
                <wp:positionH relativeFrom="page">
                  <wp:posOffset>-45085</wp:posOffset>
                </wp:positionH>
                <wp:positionV relativeFrom="page">
                  <wp:posOffset>-31006</wp:posOffset>
                </wp:positionV>
                <wp:extent cx="7655554" cy="10828588"/>
                <wp:effectExtent l="0" t="0" r="3175" b="0"/>
                <wp:wrapTight wrapText="bothSides">
                  <wp:wrapPolygon edited="0">
                    <wp:start x="0" y="0"/>
                    <wp:lineTo x="0" y="21547"/>
                    <wp:lineTo x="21555" y="21547"/>
                    <wp:lineTo x="21555" y="0"/>
                    <wp:lineTo x="0" y="0"/>
                  </wp:wrapPolygon>
                </wp:wrapTight>
                <wp:docPr id="1875916659" name="Picture 2" descr="A blue cover with a blu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916659" name="Picture 2" descr="A blue cover with a blue background&#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7655554" cy="10828588"/>
                        </a:xfrm>
                        <a:prstGeom prst="rect">
                          <a:avLst/>
                        </a:prstGeom>
                      </pic:spPr>
                    </pic:pic>
                  </a:graphicData>
                </a:graphic>
                <wp14:sizeRelH relativeFrom="margin">
                  <wp14:pctWidth>0</wp14:pctWidth>
                </wp14:sizeRelH>
                <wp14:sizeRelV relativeFrom="margin">
                  <wp14:pctHeight>0</wp14:pctHeight>
                </wp14:sizeRelV>
              </wp:anchor>
            </w:drawing>
          </w:r>
          <w:r w:rsidR="00EA2837">
            <w:rPr>
              <w:noProof/>
            </w:rPr>
            <mc:AlternateContent>
              <mc:Choice Requires="wps">
                <w:drawing>
                  <wp:anchor distT="0" distB="0" distL="114300" distR="114300" simplePos="0" relativeHeight="251662336" behindDoc="0" locked="0" layoutInCell="1" allowOverlap="1" wp14:anchorId="08F14593" wp14:editId="35A285D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D8C3E" w14:textId="28C4CE5E" w:rsidR="00EA2837" w:rsidRDefault="00EA2837">
                                <w:pPr>
                                  <w:pStyle w:val="NoSpacing"/>
                                  <w:jc w:val="right"/>
                                  <w:rPr>
                                    <w:color w:val="595959" w:themeColor="text1" w:themeTint="A6"/>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08F14593" id="_x0000_t202" coordsize="21600,21600" o:spt="202" path="m,l,21600r21600,l21600,xe">
                    <v:stroke joinstyle="miter"/>
                    <v:path gradientshapeok="t" o:connecttype="rect"/>
                  </v:shapetype>
                  <v:shape id="Text Box 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83D8C3E" w14:textId="28C4CE5E" w:rsidR="00EA2837" w:rsidRDefault="00EA2837">
                          <w:pPr>
                            <w:pStyle w:val="NoSpacing"/>
                            <w:jc w:val="right"/>
                            <w:rPr>
                              <w:color w:val="595959" w:themeColor="text1" w:themeTint="A6"/>
                              <w:szCs w:val="18"/>
                            </w:rPr>
                          </w:pPr>
                        </w:p>
                      </w:txbxContent>
                    </v:textbox>
                    <w10:wrap type="square" anchorx="page" anchory="page"/>
                  </v:shape>
                </w:pict>
              </mc:Fallback>
            </mc:AlternateContent>
          </w:r>
          <w:r w:rsidR="00EA2837">
            <w:rPr>
              <w:noProof/>
            </w:rPr>
            <mc:AlternateContent>
              <mc:Choice Requires="wps">
                <w:drawing>
                  <wp:anchor distT="0" distB="0" distL="114300" distR="114300" simplePos="0" relativeHeight="251663360" behindDoc="0" locked="0" layoutInCell="1" allowOverlap="1" wp14:anchorId="3C4FE4DD" wp14:editId="600BBD9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CA30C" w14:textId="0A4511AC" w:rsidR="00EA2837" w:rsidRDefault="00EA2837">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3C4FE4DD" id="Text Box 53" o:spid="_x0000_s1027" type="#_x0000_t202" style="position:absolute;margin-left:0;margin-top:0;width:8in;height:79.5pt;z-index:25166336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18CCA30C" w14:textId="0A4511AC" w:rsidR="00EA2837" w:rsidRDefault="00EA2837">
                          <w:pPr>
                            <w:pStyle w:val="NoSpacing"/>
                            <w:jc w:val="right"/>
                            <w:rPr>
                              <w:color w:val="595959" w:themeColor="text1" w:themeTint="A6"/>
                              <w:sz w:val="20"/>
                              <w:szCs w:val="20"/>
                            </w:rPr>
                          </w:pPr>
                        </w:p>
                      </w:txbxContent>
                    </v:textbox>
                    <w10:wrap type="square" anchorx="page" anchory="page"/>
                  </v:shape>
                </w:pict>
              </mc:Fallback>
            </mc:AlternateContent>
          </w:r>
          <w:r w:rsidR="00EA2837">
            <w:rPr>
              <w:noProof/>
            </w:rPr>
            <mc:AlternateContent>
              <mc:Choice Requires="wps">
                <w:drawing>
                  <wp:anchor distT="0" distB="0" distL="114300" distR="114300" simplePos="0" relativeHeight="251661312" behindDoc="0" locked="0" layoutInCell="1" allowOverlap="1" wp14:anchorId="3D751263" wp14:editId="4F4F3336">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73DF028" w14:textId="7849441C" w:rsidR="00EA2837" w:rsidRDefault="00EA2837" w:rsidP="008E27FE">
                                    <w:pPr>
                                      <w:jc w:val="cente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D751263" id="Text Box 54" o:spid="_x0000_s1028"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773DF028" w14:textId="7849441C" w:rsidR="00EA2837" w:rsidRDefault="00EA2837" w:rsidP="008E27FE">
                              <w:pPr>
                                <w:jc w:val="cente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1"/>
      </w:tblGrid>
      <w:tr w:rsidR="00DC4028" w:rsidRPr="00467555" w14:paraId="7D5A51BE" w14:textId="77777777" w:rsidTr="003D6CDB">
        <w:trPr>
          <w:trHeight w:hRule="exact" w:val="680"/>
        </w:trPr>
        <w:sdt>
          <w:sdtPr>
            <w:tag w:val="TITLE"/>
            <w:id w:val="-1284879804"/>
            <w:lock w:val="sdtLocked"/>
            <w:placeholder>
              <w:docPart w:val="EF21FCDB93D3405893E51B3EC98D5D32"/>
            </w:placeholder>
            <w:text/>
          </w:sdtPr>
          <w:sdtEndPr/>
          <w:sdtContent>
            <w:tc>
              <w:tcPr>
                <w:tcW w:w="8901" w:type="dxa"/>
                <w:tcBorders>
                  <w:bottom w:val="single" w:sz="2" w:space="0" w:color="FFFFFF" w:themeColor="background1"/>
                </w:tcBorders>
              </w:tcPr>
              <w:p w14:paraId="66E1BE9C" w14:textId="30637054" w:rsidR="00A9163D" w:rsidRPr="00467555" w:rsidRDefault="00AD2835" w:rsidP="00DC4028">
                <w:pPr>
                  <w:pStyle w:val="ReportTitle"/>
                </w:pPr>
                <w:r>
                  <w:t xml:space="preserve"> </w:t>
                </w:r>
              </w:p>
            </w:tc>
          </w:sdtContent>
        </w:sdt>
      </w:tr>
      <w:tr w:rsidR="00DC4028" w:rsidRPr="00467555" w14:paraId="11DFE4CC" w14:textId="77777777" w:rsidTr="003D6CDB">
        <w:trPr>
          <w:trHeight w:hRule="exact" w:val="1871"/>
        </w:trPr>
        <w:tc>
          <w:tcPr>
            <w:tcW w:w="8901" w:type="dxa"/>
            <w:tcBorders>
              <w:top w:val="single" w:sz="2" w:space="0" w:color="FFFFFF" w:themeColor="background1"/>
            </w:tcBorders>
          </w:tcPr>
          <w:sdt>
            <w:sdtPr>
              <w:tag w:val="PROJECT"/>
              <w:id w:val="-1103723915"/>
              <w:lock w:val="sdtLocked"/>
              <w:placeholder>
                <w:docPart w:val="97A72D8951F74497B58DD455D288C02D"/>
              </w:placeholder>
              <w:text/>
            </w:sdtPr>
            <w:sdtEndPr/>
            <w:sdtContent>
              <w:p w14:paraId="0CFED585" w14:textId="68996FA2" w:rsidR="00A9163D" w:rsidRPr="00467555" w:rsidRDefault="00D97A9D" w:rsidP="00DC4028">
                <w:pPr>
                  <w:pStyle w:val="ReportProject"/>
                </w:pPr>
                <w:r>
                  <w:t>Inverclyde Council</w:t>
                </w:r>
              </w:p>
            </w:sdtContent>
          </w:sdt>
          <w:p w14:paraId="27520D95" w14:textId="722632D7" w:rsidR="00DC4028" w:rsidRPr="00467555" w:rsidRDefault="00DC4028" w:rsidP="00DC4028">
            <w:pPr>
              <w:pStyle w:val="ReportClient"/>
            </w:pPr>
          </w:p>
        </w:tc>
      </w:tr>
      <w:tr w:rsidR="00DC4028" w:rsidRPr="00467555" w14:paraId="5933FEC3" w14:textId="77777777" w:rsidTr="003D6CDB">
        <w:trPr>
          <w:trHeight w:val="454"/>
        </w:trPr>
        <w:tc>
          <w:tcPr>
            <w:tcW w:w="8901" w:type="dxa"/>
            <w:vAlign w:val="bottom"/>
          </w:tcPr>
          <w:p w14:paraId="55592D84" w14:textId="77777777" w:rsidR="00A9163D" w:rsidRPr="00467555" w:rsidRDefault="00A9163D" w:rsidP="00A9163D">
            <w:pPr>
              <w:pStyle w:val="ReportStrapline"/>
            </w:pPr>
            <w:r w:rsidRPr="00467555">
              <w:rPr>
                <w:b w:val="0"/>
              </w:rPr>
              <w:t>making the</w:t>
            </w:r>
            <w:r w:rsidRPr="00467555">
              <w:t xml:space="preserve"> difference</w:t>
            </w:r>
          </w:p>
        </w:tc>
      </w:tr>
    </w:tbl>
    <w:p w14:paraId="3AC16890" w14:textId="77777777" w:rsidR="001F5A73" w:rsidRPr="00467555" w:rsidRDefault="001F5A73"/>
    <w:p w14:paraId="126179CE" w14:textId="010FFDD6" w:rsidR="00A9163D" w:rsidRDefault="00A9163D"/>
    <w:p w14:paraId="242257CE" w14:textId="77777777" w:rsidR="00146E96" w:rsidRPr="00146E96" w:rsidRDefault="00146E96" w:rsidP="00146E96"/>
    <w:p w14:paraId="187E918D" w14:textId="77777777" w:rsidR="00146E96" w:rsidRPr="00146E96" w:rsidRDefault="00146E96" w:rsidP="00146E96"/>
    <w:p w14:paraId="130D7A1A" w14:textId="77777777" w:rsidR="00146E96" w:rsidRDefault="00146E96" w:rsidP="00146E96"/>
    <w:p w14:paraId="33D28C1F" w14:textId="19662BAD" w:rsidR="00146E96" w:rsidRDefault="00146E96" w:rsidP="00146E96">
      <w:pPr>
        <w:tabs>
          <w:tab w:val="left" w:pos="6555"/>
        </w:tabs>
      </w:pPr>
      <w:r>
        <w:tab/>
      </w:r>
    </w:p>
    <w:p w14:paraId="66E11C56" w14:textId="77777777" w:rsidR="00146E96" w:rsidRDefault="00146E96" w:rsidP="00146E96">
      <w:pPr>
        <w:tabs>
          <w:tab w:val="left" w:pos="6555"/>
        </w:tabs>
      </w:pPr>
      <w:r>
        <w:tab/>
      </w:r>
    </w:p>
    <w:p w14:paraId="23F0A4A3" w14:textId="77777777" w:rsidR="00B6250C" w:rsidRPr="00B6250C" w:rsidRDefault="00B6250C" w:rsidP="00B6250C"/>
    <w:p w14:paraId="394E861E" w14:textId="77777777" w:rsidR="00B6250C" w:rsidRPr="00B6250C" w:rsidRDefault="00B6250C" w:rsidP="00B6250C"/>
    <w:p w14:paraId="7426FD52" w14:textId="77777777" w:rsidR="00B6250C" w:rsidRPr="00B6250C" w:rsidRDefault="00B6250C" w:rsidP="00B6250C"/>
    <w:p w14:paraId="734D640E" w14:textId="77777777" w:rsidR="00B6250C" w:rsidRPr="00B6250C" w:rsidRDefault="00B6250C" w:rsidP="00B6250C"/>
    <w:p w14:paraId="70A2C714" w14:textId="77777777" w:rsidR="00B6250C" w:rsidRPr="00B6250C" w:rsidRDefault="00B6250C" w:rsidP="00B6250C"/>
    <w:p w14:paraId="620C572C" w14:textId="77777777" w:rsidR="00B6250C" w:rsidRPr="00B6250C" w:rsidRDefault="00B6250C" w:rsidP="00B6250C"/>
    <w:p w14:paraId="56665B62" w14:textId="77777777" w:rsidR="00B6250C" w:rsidRPr="00B6250C" w:rsidRDefault="00B6250C" w:rsidP="00B6250C"/>
    <w:p w14:paraId="56855E48" w14:textId="77777777" w:rsidR="00B6250C" w:rsidRPr="00B6250C" w:rsidRDefault="00B6250C" w:rsidP="00B6250C"/>
    <w:p w14:paraId="7F960516" w14:textId="77777777" w:rsidR="00B6250C" w:rsidRPr="00B6250C" w:rsidRDefault="00B6250C" w:rsidP="00B6250C"/>
    <w:p w14:paraId="0258D4A5" w14:textId="77777777" w:rsidR="00B6250C" w:rsidRPr="00B6250C" w:rsidRDefault="00B6250C" w:rsidP="00B6250C"/>
    <w:p w14:paraId="1EA181FD" w14:textId="77777777" w:rsidR="00B6250C" w:rsidRPr="00B6250C" w:rsidRDefault="00B6250C" w:rsidP="00B6250C"/>
    <w:p w14:paraId="07A9FBB6" w14:textId="77777777" w:rsidR="00B6250C" w:rsidRPr="00B6250C" w:rsidRDefault="00B6250C" w:rsidP="00B6250C"/>
    <w:p w14:paraId="0847C828" w14:textId="77777777" w:rsidR="00B6250C" w:rsidRPr="00B6250C" w:rsidRDefault="00B6250C" w:rsidP="00B6250C"/>
    <w:p w14:paraId="28D54178" w14:textId="72E7D746" w:rsidR="00B6250C" w:rsidRPr="00B6250C" w:rsidRDefault="00B6250C" w:rsidP="00B6250C">
      <w:pPr>
        <w:tabs>
          <w:tab w:val="left" w:pos="1837"/>
        </w:tabs>
        <w:sectPr w:rsidR="00B6250C" w:rsidRPr="00B6250C" w:rsidSect="008E27FE">
          <w:headerReference w:type="even" r:id="rId12"/>
          <w:headerReference w:type="default" r:id="rId13"/>
          <w:headerReference w:type="first" r:id="rId14"/>
          <w:pgSz w:w="11906" w:h="16838" w:code="9"/>
          <w:pgMar w:top="1701" w:right="1021" w:bottom="1134" w:left="1503" w:header="0" w:footer="561" w:gutter="0"/>
          <w:pgNumType w:start="0"/>
          <w:cols w:space="708"/>
          <w:titlePg/>
          <w:docGrid w:linePitch="360"/>
        </w:sectPr>
      </w:pPr>
      <w:r>
        <w:tab/>
      </w:r>
      <w:r>
        <w:tab/>
      </w:r>
    </w:p>
    <w:p w14:paraId="183D5450" w14:textId="77777777" w:rsidR="000C140A" w:rsidRPr="00467555" w:rsidRDefault="000C140A" w:rsidP="000C140A">
      <w:pPr>
        <w:pStyle w:val="ContentsTitle"/>
      </w:pPr>
      <w:r w:rsidRPr="00467555">
        <w:lastRenderedPageBreak/>
        <w:t>Contents</w:t>
      </w:r>
    </w:p>
    <w:p w14:paraId="4FE94744" w14:textId="0D89CF27" w:rsidR="0004438C" w:rsidRDefault="00467555">
      <w:pPr>
        <w:pStyle w:val="TOC1"/>
        <w:rPr>
          <w:rFonts w:asciiTheme="minorHAnsi" w:eastAsiaTheme="minorEastAsia" w:hAnsiTheme="minorHAnsi"/>
          <w:b w:val="0"/>
          <w:noProof/>
          <w:color w:val="auto"/>
          <w:kern w:val="2"/>
          <w:lang w:val="en-US"/>
          <w14:ligatures w14:val="standardContextual"/>
        </w:rPr>
      </w:pPr>
      <w:r w:rsidRPr="00467555">
        <w:rPr>
          <w:b w:val="0"/>
        </w:rPr>
        <w:fldChar w:fldCharType="begin"/>
      </w:r>
      <w:r>
        <w:rPr>
          <w:b w:val="0"/>
        </w:rPr>
        <w:instrText xml:space="preserve"> TOC \o "1-4" \t "Appendix Title,1,Appendix Subheading,2" </w:instrText>
      </w:r>
      <w:r w:rsidRPr="00467555">
        <w:rPr>
          <w:b w:val="0"/>
        </w:rPr>
        <w:fldChar w:fldCharType="separate"/>
      </w:r>
      <w:r w:rsidR="0004438C" w:rsidRPr="00DF4808">
        <w:rPr>
          <w:noProof/>
        </w:rPr>
        <w:t>1</w:t>
      </w:r>
      <w:r w:rsidR="0004438C">
        <w:rPr>
          <w:rFonts w:asciiTheme="minorHAnsi" w:eastAsiaTheme="minorEastAsia" w:hAnsiTheme="minorHAnsi"/>
          <w:b w:val="0"/>
          <w:noProof/>
          <w:color w:val="auto"/>
          <w:kern w:val="2"/>
          <w:lang w:val="en-US"/>
          <w14:ligatures w14:val="standardContextual"/>
        </w:rPr>
        <w:tab/>
      </w:r>
      <w:r w:rsidR="0004438C">
        <w:rPr>
          <w:noProof/>
        </w:rPr>
        <w:t>Foreword</w:t>
      </w:r>
      <w:r w:rsidR="0004438C">
        <w:rPr>
          <w:noProof/>
        </w:rPr>
        <w:tab/>
      </w:r>
      <w:r w:rsidR="0004438C">
        <w:rPr>
          <w:noProof/>
        </w:rPr>
        <w:fldChar w:fldCharType="begin"/>
      </w:r>
      <w:r w:rsidR="0004438C">
        <w:rPr>
          <w:noProof/>
        </w:rPr>
        <w:instrText xml:space="preserve"> PAGEREF _Toc157688339 \h </w:instrText>
      </w:r>
      <w:r w:rsidR="0004438C">
        <w:rPr>
          <w:noProof/>
        </w:rPr>
      </w:r>
      <w:r w:rsidR="0004438C">
        <w:rPr>
          <w:noProof/>
        </w:rPr>
        <w:fldChar w:fldCharType="separate"/>
      </w:r>
      <w:r w:rsidR="0004438C">
        <w:rPr>
          <w:noProof/>
        </w:rPr>
        <w:t>1</w:t>
      </w:r>
      <w:r w:rsidR="0004438C">
        <w:rPr>
          <w:noProof/>
        </w:rPr>
        <w:fldChar w:fldCharType="end"/>
      </w:r>
    </w:p>
    <w:p w14:paraId="435FE6ED" w14:textId="2A7D0F60" w:rsidR="0004438C" w:rsidRDefault="0004438C">
      <w:pPr>
        <w:pStyle w:val="TOC1"/>
        <w:rPr>
          <w:rFonts w:asciiTheme="minorHAnsi" w:eastAsiaTheme="minorEastAsia" w:hAnsiTheme="minorHAnsi"/>
          <w:b w:val="0"/>
          <w:noProof/>
          <w:color w:val="auto"/>
          <w:kern w:val="2"/>
          <w:lang w:val="en-US"/>
          <w14:ligatures w14:val="standardContextual"/>
        </w:rPr>
      </w:pPr>
      <w:r w:rsidRPr="00DF4808">
        <w:rPr>
          <w:noProof/>
        </w:rPr>
        <w:t>2</w:t>
      </w:r>
      <w:r>
        <w:rPr>
          <w:rFonts w:asciiTheme="minorHAnsi" w:eastAsiaTheme="minorEastAsia" w:hAnsiTheme="minorHAnsi"/>
          <w:b w:val="0"/>
          <w:noProof/>
          <w:color w:val="auto"/>
          <w:kern w:val="2"/>
          <w:lang w:val="en-US"/>
          <w14:ligatures w14:val="standardContextual"/>
        </w:rPr>
        <w:tab/>
      </w:r>
      <w:r w:rsidR="0078371F">
        <w:rPr>
          <w:noProof/>
        </w:rPr>
        <w:t>Executive</w:t>
      </w:r>
      <w:r w:rsidR="00727D7B">
        <w:rPr>
          <w:noProof/>
        </w:rPr>
        <w:t xml:space="preserve"> </w:t>
      </w:r>
      <w:r w:rsidR="0078371F">
        <w:rPr>
          <w:noProof/>
        </w:rPr>
        <w:t>Summary</w:t>
      </w:r>
      <w:r>
        <w:rPr>
          <w:noProof/>
        </w:rPr>
        <w:tab/>
      </w:r>
      <w:r>
        <w:rPr>
          <w:noProof/>
        </w:rPr>
        <w:fldChar w:fldCharType="begin"/>
      </w:r>
      <w:r>
        <w:rPr>
          <w:noProof/>
        </w:rPr>
        <w:instrText xml:space="preserve"> PAGEREF _Toc157688340 \h </w:instrText>
      </w:r>
      <w:r>
        <w:rPr>
          <w:noProof/>
        </w:rPr>
      </w:r>
      <w:r>
        <w:rPr>
          <w:noProof/>
        </w:rPr>
        <w:fldChar w:fldCharType="separate"/>
      </w:r>
      <w:r>
        <w:rPr>
          <w:noProof/>
        </w:rPr>
        <w:t>2</w:t>
      </w:r>
      <w:r>
        <w:rPr>
          <w:noProof/>
        </w:rPr>
        <w:fldChar w:fldCharType="end"/>
      </w:r>
    </w:p>
    <w:p w14:paraId="512AE92A" w14:textId="024BEAEA" w:rsidR="0004438C" w:rsidRDefault="0004438C">
      <w:pPr>
        <w:pStyle w:val="TOC1"/>
        <w:rPr>
          <w:noProof/>
        </w:rPr>
      </w:pPr>
      <w:r w:rsidRPr="00DF4808">
        <w:rPr>
          <w:noProof/>
        </w:rPr>
        <w:t>3</w:t>
      </w:r>
      <w:r>
        <w:rPr>
          <w:rFonts w:asciiTheme="minorHAnsi" w:eastAsiaTheme="minorEastAsia" w:hAnsiTheme="minorHAnsi"/>
          <w:b w:val="0"/>
          <w:noProof/>
          <w:color w:val="auto"/>
          <w:kern w:val="2"/>
          <w:lang w:val="en-US"/>
          <w14:ligatures w14:val="standardContextual"/>
        </w:rPr>
        <w:tab/>
      </w:r>
      <w:r w:rsidR="0078371F">
        <w:rPr>
          <w:noProof/>
        </w:rPr>
        <w:t>Corporate Planning</w:t>
      </w:r>
      <w:r>
        <w:rPr>
          <w:noProof/>
        </w:rPr>
        <w:tab/>
      </w:r>
      <w:r w:rsidR="00814DC9">
        <w:rPr>
          <w:noProof/>
        </w:rPr>
        <w:t>3</w:t>
      </w:r>
    </w:p>
    <w:p w14:paraId="5338E603" w14:textId="6CC8D513" w:rsidR="00CF744E" w:rsidRDefault="00CF744E" w:rsidP="00CF744E">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3</w:t>
      </w:r>
      <w:r w:rsidRPr="00DF4808">
        <w:rPr>
          <w:noProof/>
          <w14:scene3d>
            <w14:camera w14:prst="orthographicFront"/>
            <w14:lightRig w14:rig="threePt" w14:dir="t">
              <w14:rot w14:lat="0" w14:lon="0" w14:rev="0"/>
            </w14:lightRig>
          </w14:scene3d>
        </w:rPr>
        <w:t>.1</w:t>
      </w:r>
      <w:r>
        <w:rPr>
          <w:rFonts w:asciiTheme="minorHAnsi" w:eastAsiaTheme="minorEastAsia" w:hAnsiTheme="minorHAnsi"/>
          <w:b w:val="0"/>
          <w:noProof/>
          <w:color w:val="auto"/>
          <w:kern w:val="2"/>
          <w:sz w:val="22"/>
          <w:lang w:val="en-US"/>
          <w14:ligatures w14:val="standardContextual"/>
        </w:rPr>
        <w:tab/>
      </w:r>
      <w:r>
        <w:rPr>
          <w:noProof/>
        </w:rPr>
        <w:t>Committee Delivery and Improvement Plans</w:t>
      </w:r>
      <w:r>
        <w:rPr>
          <w:noProof/>
        </w:rPr>
        <w:tab/>
      </w:r>
      <w:r>
        <w:rPr>
          <w:noProof/>
        </w:rPr>
        <w:fldChar w:fldCharType="begin"/>
      </w:r>
      <w:r>
        <w:rPr>
          <w:noProof/>
        </w:rPr>
        <w:instrText xml:space="preserve"> PAGEREF _Toc157688354 \h </w:instrText>
      </w:r>
      <w:r>
        <w:rPr>
          <w:noProof/>
        </w:rPr>
      </w:r>
      <w:r>
        <w:rPr>
          <w:noProof/>
        </w:rPr>
        <w:fldChar w:fldCharType="separate"/>
      </w:r>
      <w:r w:rsidR="00814DC9">
        <w:rPr>
          <w:noProof/>
        </w:rPr>
        <w:t>3</w:t>
      </w:r>
      <w:r>
        <w:rPr>
          <w:noProof/>
        </w:rPr>
        <w:fldChar w:fldCharType="end"/>
      </w:r>
    </w:p>
    <w:p w14:paraId="48DCE6FE" w14:textId="33509326" w:rsidR="00CF744E" w:rsidRDefault="007B2F0A" w:rsidP="00CF744E">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3</w:t>
      </w:r>
      <w:r w:rsidR="00CF744E" w:rsidRPr="00DF4808">
        <w:rPr>
          <w:noProof/>
          <w14:scene3d>
            <w14:camera w14:prst="orthographicFront"/>
            <w14:lightRig w14:rig="threePt" w14:dir="t">
              <w14:rot w14:lat="0" w14:lon="0" w14:rev="0"/>
            </w14:lightRig>
          </w14:scene3d>
        </w:rPr>
        <w:t>.2</w:t>
      </w:r>
      <w:r w:rsidR="00CF744E">
        <w:rPr>
          <w:rFonts w:asciiTheme="minorHAnsi" w:eastAsiaTheme="minorEastAsia" w:hAnsiTheme="minorHAnsi"/>
          <w:b w:val="0"/>
          <w:noProof/>
          <w:color w:val="auto"/>
          <w:kern w:val="2"/>
          <w:sz w:val="22"/>
          <w:lang w:val="en-US"/>
          <w14:ligatures w14:val="standardContextual"/>
        </w:rPr>
        <w:tab/>
      </w:r>
      <w:r w:rsidR="00CF744E">
        <w:rPr>
          <w:noProof/>
        </w:rPr>
        <w:t>Asset Management</w:t>
      </w:r>
      <w:r w:rsidR="009F434F">
        <w:rPr>
          <w:noProof/>
        </w:rPr>
        <w:t xml:space="preserve"> Planning</w:t>
      </w:r>
      <w:r w:rsidR="00CF744E">
        <w:rPr>
          <w:noProof/>
        </w:rPr>
        <w:tab/>
      </w:r>
      <w:r w:rsidR="00CF744E">
        <w:rPr>
          <w:noProof/>
        </w:rPr>
        <w:fldChar w:fldCharType="begin"/>
      </w:r>
      <w:r w:rsidR="00CF744E">
        <w:rPr>
          <w:noProof/>
        </w:rPr>
        <w:instrText xml:space="preserve"> PAGEREF _Toc157688355 \h </w:instrText>
      </w:r>
      <w:r w:rsidR="00CF744E">
        <w:rPr>
          <w:noProof/>
        </w:rPr>
      </w:r>
      <w:r w:rsidR="00CF744E">
        <w:rPr>
          <w:noProof/>
        </w:rPr>
        <w:fldChar w:fldCharType="separate"/>
      </w:r>
      <w:r w:rsidR="00814DC9">
        <w:rPr>
          <w:noProof/>
        </w:rPr>
        <w:t>4</w:t>
      </w:r>
      <w:r w:rsidR="00CF744E">
        <w:rPr>
          <w:noProof/>
        </w:rPr>
        <w:fldChar w:fldCharType="end"/>
      </w:r>
    </w:p>
    <w:p w14:paraId="10BAD16D" w14:textId="1B9BA8BF" w:rsidR="00CF744E" w:rsidRDefault="007B2F0A" w:rsidP="00CF744E">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3</w:t>
      </w:r>
      <w:r w:rsidR="00CF744E" w:rsidRPr="00DF4808">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3</w:t>
      </w:r>
      <w:r w:rsidR="00CF744E">
        <w:rPr>
          <w:rFonts w:asciiTheme="minorHAnsi" w:eastAsiaTheme="minorEastAsia" w:hAnsiTheme="minorHAnsi"/>
          <w:b w:val="0"/>
          <w:noProof/>
          <w:color w:val="auto"/>
          <w:kern w:val="2"/>
          <w:sz w:val="22"/>
          <w:lang w:val="en-US"/>
          <w14:ligatures w14:val="standardContextual"/>
        </w:rPr>
        <w:tab/>
      </w:r>
      <w:r w:rsidR="00CF744E">
        <w:rPr>
          <w:noProof/>
        </w:rPr>
        <w:t>Capital Strategy</w:t>
      </w:r>
      <w:r w:rsidR="00CF744E">
        <w:rPr>
          <w:noProof/>
        </w:rPr>
        <w:tab/>
      </w:r>
      <w:r w:rsidR="00CF744E">
        <w:rPr>
          <w:noProof/>
        </w:rPr>
        <w:fldChar w:fldCharType="begin"/>
      </w:r>
      <w:r w:rsidR="00CF744E">
        <w:rPr>
          <w:noProof/>
        </w:rPr>
        <w:instrText xml:space="preserve"> PAGEREF _Toc157688354 \h </w:instrText>
      </w:r>
      <w:r w:rsidR="00CF744E">
        <w:rPr>
          <w:noProof/>
        </w:rPr>
      </w:r>
      <w:r w:rsidR="00CF744E">
        <w:rPr>
          <w:noProof/>
        </w:rPr>
        <w:fldChar w:fldCharType="separate"/>
      </w:r>
      <w:r w:rsidR="00814DC9">
        <w:rPr>
          <w:noProof/>
        </w:rPr>
        <w:t>4</w:t>
      </w:r>
      <w:r w:rsidR="00CF744E">
        <w:rPr>
          <w:noProof/>
        </w:rPr>
        <w:fldChar w:fldCharType="end"/>
      </w:r>
    </w:p>
    <w:p w14:paraId="4C454000" w14:textId="5203BB98" w:rsidR="007B2F0A" w:rsidRDefault="007B2F0A" w:rsidP="007B2F0A">
      <w:pPr>
        <w:pStyle w:val="TOC1"/>
        <w:rPr>
          <w:rFonts w:asciiTheme="minorHAnsi" w:eastAsiaTheme="minorEastAsia" w:hAnsiTheme="minorHAnsi"/>
          <w:b w:val="0"/>
          <w:noProof/>
          <w:color w:val="auto"/>
          <w:kern w:val="2"/>
          <w:lang w:val="en-US"/>
          <w14:ligatures w14:val="standardContextual"/>
        </w:rPr>
      </w:pPr>
      <w:bookmarkStart w:id="0" w:name="_Hlk161586562"/>
      <w:r w:rsidRPr="00DF4808">
        <w:rPr>
          <w:noProof/>
        </w:rPr>
        <w:t>4</w:t>
      </w:r>
      <w:r>
        <w:rPr>
          <w:rFonts w:asciiTheme="minorHAnsi" w:eastAsiaTheme="minorEastAsia" w:hAnsiTheme="minorHAnsi"/>
          <w:b w:val="0"/>
          <w:noProof/>
          <w:color w:val="auto"/>
          <w:kern w:val="2"/>
          <w:lang w:val="en-US"/>
          <w14:ligatures w14:val="standardContextual"/>
        </w:rPr>
        <w:tab/>
      </w:r>
      <w:r>
        <w:rPr>
          <w:noProof/>
        </w:rPr>
        <w:t>Introduction to Asset M</w:t>
      </w:r>
      <w:r w:rsidR="00814DC9">
        <w:rPr>
          <w:noProof/>
        </w:rPr>
        <w:t>a</w:t>
      </w:r>
      <w:r>
        <w:rPr>
          <w:noProof/>
        </w:rPr>
        <w:t>nagement Planning</w:t>
      </w:r>
      <w:r>
        <w:rPr>
          <w:noProof/>
        </w:rPr>
        <w:tab/>
      </w:r>
      <w:r w:rsidR="00814DC9">
        <w:rPr>
          <w:noProof/>
        </w:rPr>
        <w:t>5</w:t>
      </w:r>
    </w:p>
    <w:p w14:paraId="17B5223C" w14:textId="14BAED05" w:rsidR="007B2F0A" w:rsidRDefault="007B2F0A" w:rsidP="007B2F0A">
      <w:pPr>
        <w:pStyle w:val="TOC2"/>
        <w:rPr>
          <w:noProof/>
        </w:rPr>
      </w:pPr>
      <w:r w:rsidRPr="00DF4808">
        <w:rPr>
          <w:noProof/>
          <w14:scene3d>
            <w14:camera w14:prst="orthographicFront"/>
            <w14:lightRig w14:rig="threePt" w14:dir="t">
              <w14:rot w14:lat="0" w14:lon="0" w14:rev="0"/>
            </w14:lightRig>
          </w14:scene3d>
        </w:rPr>
        <w:t>4.1</w:t>
      </w:r>
      <w:r>
        <w:rPr>
          <w:rFonts w:asciiTheme="minorHAnsi" w:eastAsiaTheme="minorEastAsia" w:hAnsiTheme="minorHAnsi"/>
          <w:b w:val="0"/>
          <w:noProof/>
          <w:color w:val="auto"/>
          <w:kern w:val="2"/>
          <w:sz w:val="22"/>
          <w:lang w:val="en-US"/>
          <w14:ligatures w14:val="standardContextual"/>
        </w:rPr>
        <w:tab/>
      </w:r>
      <w:r>
        <w:rPr>
          <w:noProof/>
        </w:rPr>
        <w:t>Governance</w:t>
      </w:r>
      <w:r w:rsidR="004949D5">
        <w:rPr>
          <w:noProof/>
        </w:rPr>
        <w:t xml:space="preserve"> and Leadership</w:t>
      </w:r>
      <w:r>
        <w:rPr>
          <w:noProof/>
        </w:rPr>
        <w:tab/>
      </w:r>
      <w:r w:rsidR="00814DC9">
        <w:rPr>
          <w:noProof/>
        </w:rPr>
        <w:t>5</w:t>
      </w:r>
    </w:p>
    <w:p w14:paraId="5320FA0D" w14:textId="1C3B7B0E" w:rsidR="009F434F" w:rsidRDefault="009F434F" w:rsidP="009F434F">
      <w:pPr>
        <w:pStyle w:val="TOC2"/>
        <w:rPr>
          <w:noProof/>
        </w:rPr>
      </w:pPr>
      <w:r w:rsidRPr="00DF4808">
        <w:rPr>
          <w:noProof/>
          <w14:scene3d>
            <w14:camera w14:prst="orthographicFront"/>
            <w14:lightRig w14:rig="threePt" w14:dir="t">
              <w14:rot w14:lat="0" w14:lon="0" w14:rev="0"/>
            </w14:lightRig>
          </w14:scene3d>
        </w:rPr>
        <w:t>4.</w:t>
      </w:r>
      <w:r>
        <w:rPr>
          <w:noProof/>
          <w14:scene3d>
            <w14:camera w14:prst="orthographicFront"/>
            <w14:lightRig w14:rig="threePt" w14:dir="t">
              <w14:rot w14:lat="0" w14:lon="0" w14:rev="0"/>
            </w14:lightRig>
          </w14:scene3d>
        </w:rPr>
        <w:t>2</w:t>
      </w:r>
      <w:r>
        <w:rPr>
          <w:rFonts w:asciiTheme="minorHAnsi" w:eastAsiaTheme="minorEastAsia" w:hAnsiTheme="minorHAnsi"/>
          <w:b w:val="0"/>
          <w:noProof/>
          <w:color w:val="auto"/>
          <w:kern w:val="2"/>
          <w:sz w:val="22"/>
          <w:lang w:val="en-US"/>
          <w14:ligatures w14:val="standardContextual"/>
        </w:rPr>
        <w:tab/>
      </w:r>
      <w:r>
        <w:rPr>
          <w:noProof/>
        </w:rPr>
        <w:t>Operational Asset Management</w:t>
      </w:r>
      <w:r>
        <w:rPr>
          <w:noProof/>
        </w:rPr>
        <w:tab/>
      </w:r>
      <w:r w:rsidR="009E73FB">
        <w:rPr>
          <w:noProof/>
        </w:rPr>
        <w:t>6</w:t>
      </w:r>
    </w:p>
    <w:p w14:paraId="15FC5058" w14:textId="5CD35708" w:rsidR="009F434F" w:rsidRPr="009F434F" w:rsidRDefault="009F434F" w:rsidP="009F434F">
      <w:pPr>
        <w:pStyle w:val="TOC2"/>
        <w:rPr>
          <w:noProof/>
        </w:rPr>
      </w:pPr>
      <w:r w:rsidRPr="00DF4808">
        <w:rPr>
          <w:noProof/>
          <w14:scene3d>
            <w14:camera w14:prst="orthographicFront"/>
            <w14:lightRig w14:rig="threePt" w14:dir="t">
              <w14:rot w14:lat="0" w14:lon="0" w14:rev="0"/>
            </w14:lightRig>
          </w14:scene3d>
        </w:rPr>
        <w:t>4.</w:t>
      </w:r>
      <w:r w:rsidR="005B5F1B">
        <w:rPr>
          <w:noProof/>
          <w14:scene3d>
            <w14:camera w14:prst="orthographicFront"/>
            <w14:lightRig w14:rig="threePt" w14:dir="t">
              <w14:rot w14:lat="0" w14:lon="0" w14:rev="0"/>
            </w14:lightRig>
          </w14:scene3d>
        </w:rPr>
        <w:t>3</w:t>
      </w:r>
      <w:r>
        <w:rPr>
          <w:rFonts w:asciiTheme="minorHAnsi" w:eastAsiaTheme="minorEastAsia" w:hAnsiTheme="minorHAnsi"/>
          <w:b w:val="0"/>
          <w:noProof/>
          <w:color w:val="auto"/>
          <w:kern w:val="2"/>
          <w:sz w:val="22"/>
          <w:lang w:val="en-US"/>
          <w14:ligatures w14:val="standardContextual"/>
        </w:rPr>
        <w:tab/>
      </w:r>
      <w:r>
        <w:rPr>
          <w:noProof/>
        </w:rPr>
        <w:t>Asset Data</w:t>
      </w:r>
      <w:r>
        <w:rPr>
          <w:noProof/>
        </w:rPr>
        <w:tab/>
      </w:r>
      <w:r w:rsidR="009E73FB">
        <w:rPr>
          <w:noProof/>
        </w:rPr>
        <w:t>7</w:t>
      </w:r>
    </w:p>
    <w:p w14:paraId="763FCCA4" w14:textId="2916A2E0" w:rsidR="0004438C" w:rsidRDefault="00814DC9">
      <w:pPr>
        <w:pStyle w:val="TOC1"/>
        <w:rPr>
          <w:rFonts w:asciiTheme="minorHAnsi" w:eastAsiaTheme="minorEastAsia" w:hAnsiTheme="minorHAnsi"/>
          <w:b w:val="0"/>
          <w:noProof/>
          <w:color w:val="auto"/>
          <w:kern w:val="2"/>
          <w:lang w:val="en-US"/>
          <w14:ligatures w14:val="standardContextual"/>
        </w:rPr>
      </w:pPr>
      <w:bookmarkStart w:id="1" w:name="_Hlk161586542"/>
      <w:r>
        <w:rPr>
          <w:noProof/>
        </w:rPr>
        <w:t>5</w:t>
      </w:r>
      <w:r w:rsidR="0004438C">
        <w:rPr>
          <w:rFonts w:asciiTheme="minorHAnsi" w:eastAsiaTheme="minorEastAsia" w:hAnsiTheme="minorHAnsi"/>
          <w:b w:val="0"/>
          <w:noProof/>
          <w:color w:val="auto"/>
          <w:kern w:val="2"/>
          <w:lang w:val="en-US"/>
          <w14:ligatures w14:val="standardContextual"/>
        </w:rPr>
        <w:tab/>
      </w:r>
      <w:r w:rsidR="0004438C">
        <w:rPr>
          <w:noProof/>
        </w:rPr>
        <w:t xml:space="preserve">Approach </w:t>
      </w:r>
      <w:r w:rsidR="004A1DF6">
        <w:rPr>
          <w:noProof/>
        </w:rPr>
        <w:t xml:space="preserve">to </w:t>
      </w:r>
      <w:r w:rsidR="007B2F0A">
        <w:rPr>
          <w:noProof/>
        </w:rPr>
        <w:t>Asset Management</w:t>
      </w:r>
      <w:r w:rsidR="0004438C">
        <w:rPr>
          <w:noProof/>
        </w:rPr>
        <w:tab/>
      </w:r>
      <w:r w:rsidR="009E73FB">
        <w:rPr>
          <w:noProof/>
        </w:rPr>
        <w:t>9</w:t>
      </w:r>
      <w:bookmarkEnd w:id="1"/>
    </w:p>
    <w:p w14:paraId="089AAE5C" w14:textId="1EAABF53" w:rsidR="0004438C" w:rsidRDefault="004949D5">
      <w:pPr>
        <w:pStyle w:val="TOC2"/>
        <w:rPr>
          <w:noProof/>
        </w:rPr>
      </w:pPr>
      <w:r>
        <w:rPr>
          <w:noProof/>
          <w14:scene3d>
            <w14:camera w14:prst="orthographicFront"/>
            <w14:lightRig w14:rig="threePt" w14:dir="t">
              <w14:rot w14:lat="0" w14:lon="0" w14:rev="0"/>
            </w14:lightRig>
          </w14:scene3d>
        </w:rPr>
        <w:t>5</w:t>
      </w:r>
      <w:r w:rsidR="0004438C" w:rsidRPr="00DF4808">
        <w:rPr>
          <w:noProof/>
          <w14:scene3d>
            <w14:camera w14:prst="orthographicFront"/>
            <w14:lightRig w14:rig="threePt" w14:dir="t">
              <w14:rot w14:lat="0" w14:lon="0" w14:rev="0"/>
            </w14:lightRig>
          </w14:scene3d>
        </w:rPr>
        <w:t>.1</w:t>
      </w:r>
      <w:r w:rsidR="0004438C">
        <w:rPr>
          <w:rFonts w:asciiTheme="minorHAnsi" w:eastAsiaTheme="minorEastAsia" w:hAnsiTheme="minorHAnsi"/>
          <w:b w:val="0"/>
          <w:noProof/>
          <w:color w:val="auto"/>
          <w:kern w:val="2"/>
          <w:sz w:val="22"/>
          <w:lang w:val="en-US"/>
          <w14:ligatures w14:val="standardContextual"/>
        </w:rPr>
        <w:tab/>
      </w:r>
      <w:r w:rsidR="0004438C">
        <w:rPr>
          <w:noProof/>
        </w:rPr>
        <w:t>Pro</w:t>
      </w:r>
      <w:r>
        <w:rPr>
          <w:noProof/>
        </w:rPr>
        <w:t>pe</w:t>
      </w:r>
      <w:r w:rsidR="0004438C">
        <w:rPr>
          <w:noProof/>
        </w:rPr>
        <w:t>rt</w:t>
      </w:r>
      <w:r>
        <w:rPr>
          <w:noProof/>
        </w:rPr>
        <w:t>y</w:t>
      </w:r>
      <w:r w:rsidR="0004438C">
        <w:rPr>
          <w:noProof/>
        </w:rPr>
        <w:tab/>
      </w:r>
      <w:r w:rsidR="009E73FB">
        <w:rPr>
          <w:noProof/>
        </w:rPr>
        <w:t>9</w:t>
      </w:r>
    </w:p>
    <w:p w14:paraId="748E2284" w14:textId="4832A9D6" w:rsidR="004949D5" w:rsidRDefault="004949D5" w:rsidP="004949D5">
      <w:pPr>
        <w:pStyle w:val="TOC3"/>
        <w:rPr>
          <w:rFonts w:asciiTheme="minorHAnsi" w:eastAsiaTheme="minorEastAsia" w:hAnsiTheme="minorHAnsi"/>
          <w:b w:val="0"/>
          <w:noProof/>
          <w:color w:val="auto"/>
          <w:kern w:val="2"/>
          <w:sz w:val="22"/>
          <w:lang w:val="en-US"/>
          <w14:ligatures w14:val="standardContextual"/>
        </w:rPr>
      </w:pPr>
      <w:r>
        <w:rPr>
          <w:noProof/>
        </w:rPr>
        <w:t>5.1.1</w:t>
      </w:r>
      <w:r>
        <w:rPr>
          <w:rFonts w:asciiTheme="minorHAnsi" w:eastAsiaTheme="minorEastAsia" w:hAnsiTheme="minorHAnsi"/>
          <w:b w:val="0"/>
          <w:noProof/>
          <w:color w:val="auto"/>
          <w:kern w:val="2"/>
          <w:sz w:val="22"/>
          <w:lang w:val="en-US"/>
          <w14:ligatures w14:val="standardContextual"/>
        </w:rPr>
        <w:tab/>
      </w:r>
      <w:r>
        <w:rPr>
          <w:noProof/>
        </w:rPr>
        <w:t>Learning Estate</w:t>
      </w:r>
      <w:r>
        <w:rPr>
          <w:noProof/>
        </w:rPr>
        <w:tab/>
      </w:r>
      <w:r w:rsidR="009E73FB">
        <w:rPr>
          <w:noProof/>
        </w:rPr>
        <w:t>9</w:t>
      </w:r>
    </w:p>
    <w:p w14:paraId="0BCF2096" w14:textId="0B4415A2" w:rsidR="004949D5" w:rsidRDefault="004949D5" w:rsidP="004949D5">
      <w:pPr>
        <w:pStyle w:val="TOC3"/>
        <w:rPr>
          <w:rFonts w:asciiTheme="minorHAnsi" w:eastAsiaTheme="minorEastAsia" w:hAnsiTheme="minorHAnsi"/>
          <w:b w:val="0"/>
          <w:noProof/>
          <w:color w:val="auto"/>
          <w:kern w:val="2"/>
          <w:sz w:val="22"/>
          <w:lang w:val="en-US"/>
          <w14:ligatures w14:val="standardContextual"/>
        </w:rPr>
      </w:pPr>
      <w:r>
        <w:rPr>
          <w:noProof/>
        </w:rPr>
        <w:t>5.1.2</w:t>
      </w:r>
      <w:r>
        <w:rPr>
          <w:rFonts w:asciiTheme="minorHAnsi" w:eastAsiaTheme="minorEastAsia" w:hAnsiTheme="minorHAnsi"/>
          <w:b w:val="0"/>
          <w:noProof/>
          <w:color w:val="auto"/>
          <w:kern w:val="2"/>
          <w:sz w:val="22"/>
          <w:lang w:val="en-US"/>
          <w14:ligatures w14:val="standardContextual"/>
        </w:rPr>
        <w:tab/>
      </w:r>
      <w:r>
        <w:rPr>
          <w:noProof/>
        </w:rPr>
        <w:t>Offices</w:t>
      </w:r>
      <w:r>
        <w:rPr>
          <w:noProof/>
        </w:rPr>
        <w:tab/>
      </w:r>
      <w:r w:rsidR="009E73FB">
        <w:rPr>
          <w:noProof/>
        </w:rPr>
        <w:t>11</w:t>
      </w:r>
    </w:p>
    <w:p w14:paraId="2421CD12" w14:textId="7A1392BA" w:rsidR="004949D5" w:rsidRDefault="004949D5" w:rsidP="004949D5">
      <w:pPr>
        <w:pStyle w:val="TOC3"/>
        <w:rPr>
          <w:noProof/>
        </w:rPr>
      </w:pPr>
      <w:r>
        <w:rPr>
          <w:noProof/>
        </w:rPr>
        <w:t>5.1.3</w:t>
      </w:r>
      <w:r>
        <w:rPr>
          <w:rFonts w:asciiTheme="minorHAnsi" w:eastAsiaTheme="minorEastAsia" w:hAnsiTheme="minorHAnsi"/>
          <w:b w:val="0"/>
          <w:noProof/>
          <w:color w:val="auto"/>
          <w:kern w:val="2"/>
          <w:sz w:val="22"/>
          <w:lang w:val="en-US"/>
          <w14:ligatures w14:val="standardContextual"/>
        </w:rPr>
        <w:tab/>
      </w:r>
      <w:r>
        <w:rPr>
          <w:noProof/>
        </w:rPr>
        <w:t>Depots</w:t>
      </w:r>
      <w:r>
        <w:rPr>
          <w:noProof/>
        </w:rPr>
        <w:tab/>
      </w:r>
      <w:r w:rsidR="009E73FB">
        <w:rPr>
          <w:noProof/>
        </w:rPr>
        <w:t>12</w:t>
      </w:r>
    </w:p>
    <w:p w14:paraId="5C24FC8C" w14:textId="729456F1" w:rsidR="004949D5" w:rsidRDefault="004949D5" w:rsidP="004949D5">
      <w:pPr>
        <w:pStyle w:val="TOC3"/>
        <w:rPr>
          <w:rFonts w:asciiTheme="minorHAnsi" w:eastAsiaTheme="minorEastAsia" w:hAnsiTheme="minorHAnsi"/>
          <w:b w:val="0"/>
          <w:noProof/>
          <w:color w:val="auto"/>
          <w:kern w:val="2"/>
          <w:sz w:val="22"/>
          <w:lang w:val="en-US"/>
          <w14:ligatures w14:val="standardContextual"/>
        </w:rPr>
      </w:pPr>
      <w:r>
        <w:rPr>
          <w:noProof/>
        </w:rPr>
        <w:t>5.1.4</w:t>
      </w:r>
      <w:r>
        <w:rPr>
          <w:rFonts w:asciiTheme="minorHAnsi" w:eastAsiaTheme="minorEastAsia" w:hAnsiTheme="minorHAnsi"/>
          <w:b w:val="0"/>
          <w:noProof/>
          <w:color w:val="auto"/>
          <w:kern w:val="2"/>
          <w:sz w:val="22"/>
          <w:lang w:val="en-US"/>
          <w14:ligatures w14:val="standardContextual"/>
        </w:rPr>
        <w:tab/>
      </w:r>
      <w:r>
        <w:rPr>
          <w:noProof/>
        </w:rPr>
        <w:t>Leisure Estate</w:t>
      </w:r>
      <w:r>
        <w:rPr>
          <w:noProof/>
        </w:rPr>
        <w:tab/>
      </w:r>
      <w:r w:rsidR="009E73FB">
        <w:rPr>
          <w:noProof/>
        </w:rPr>
        <w:t>12</w:t>
      </w:r>
    </w:p>
    <w:p w14:paraId="3FC4F651" w14:textId="74D5A997" w:rsidR="004949D5" w:rsidRDefault="004949D5" w:rsidP="004949D5">
      <w:pPr>
        <w:pStyle w:val="TOC3"/>
        <w:rPr>
          <w:rFonts w:asciiTheme="minorHAnsi" w:eastAsiaTheme="minorEastAsia" w:hAnsiTheme="minorHAnsi"/>
          <w:b w:val="0"/>
          <w:noProof/>
          <w:color w:val="auto"/>
          <w:kern w:val="2"/>
          <w:sz w:val="22"/>
          <w:lang w:val="en-US"/>
          <w14:ligatures w14:val="standardContextual"/>
        </w:rPr>
      </w:pPr>
      <w:r>
        <w:rPr>
          <w:noProof/>
        </w:rPr>
        <w:t>5.1.5</w:t>
      </w:r>
      <w:r>
        <w:rPr>
          <w:rFonts w:asciiTheme="minorHAnsi" w:eastAsiaTheme="minorEastAsia" w:hAnsiTheme="minorHAnsi"/>
          <w:b w:val="0"/>
          <w:noProof/>
          <w:color w:val="auto"/>
          <w:kern w:val="2"/>
          <w:sz w:val="22"/>
          <w:lang w:val="en-US"/>
          <w14:ligatures w14:val="standardContextual"/>
        </w:rPr>
        <w:tab/>
      </w:r>
      <w:r>
        <w:rPr>
          <w:rFonts w:asciiTheme="minorHAnsi" w:hAnsiTheme="minorHAnsi"/>
          <w:noProof/>
        </w:rPr>
        <w:t>Health and Social Care Partnership</w:t>
      </w:r>
      <w:r>
        <w:rPr>
          <w:noProof/>
        </w:rPr>
        <w:tab/>
      </w:r>
      <w:r>
        <w:rPr>
          <w:noProof/>
        </w:rPr>
        <w:fldChar w:fldCharType="begin"/>
      </w:r>
      <w:r>
        <w:rPr>
          <w:noProof/>
        </w:rPr>
        <w:instrText xml:space="preserve"> PAGEREF _Toc157688351 \h </w:instrText>
      </w:r>
      <w:r>
        <w:rPr>
          <w:noProof/>
        </w:rPr>
      </w:r>
      <w:r>
        <w:rPr>
          <w:noProof/>
        </w:rPr>
        <w:fldChar w:fldCharType="separate"/>
      </w:r>
      <w:r>
        <w:rPr>
          <w:noProof/>
        </w:rPr>
        <w:t>1</w:t>
      </w:r>
      <w:r w:rsidR="009E73FB">
        <w:rPr>
          <w:noProof/>
        </w:rPr>
        <w:t>3</w:t>
      </w:r>
      <w:r>
        <w:rPr>
          <w:noProof/>
        </w:rPr>
        <w:fldChar w:fldCharType="end"/>
      </w:r>
    </w:p>
    <w:p w14:paraId="022A65E9" w14:textId="6927016D" w:rsidR="004949D5" w:rsidRDefault="004949D5" w:rsidP="004949D5">
      <w:pPr>
        <w:pStyle w:val="TOC3"/>
        <w:rPr>
          <w:rFonts w:asciiTheme="minorHAnsi" w:eastAsiaTheme="minorEastAsia" w:hAnsiTheme="minorHAnsi"/>
          <w:b w:val="0"/>
          <w:noProof/>
          <w:color w:val="auto"/>
          <w:kern w:val="2"/>
          <w:sz w:val="22"/>
          <w:lang w:val="en-US"/>
          <w14:ligatures w14:val="standardContextual"/>
        </w:rPr>
      </w:pPr>
      <w:bookmarkStart w:id="2" w:name="_Hlk161601241"/>
      <w:r>
        <w:rPr>
          <w:noProof/>
        </w:rPr>
        <w:t>5.1.6</w:t>
      </w:r>
      <w:r>
        <w:rPr>
          <w:rFonts w:asciiTheme="minorHAnsi" w:eastAsiaTheme="minorEastAsia" w:hAnsiTheme="minorHAnsi"/>
          <w:b w:val="0"/>
          <w:noProof/>
          <w:color w:val="auto"/>
          <w:kern w:val="2"/>
          <w:sz w:val="22"/>
          <w:lang w:val="en-US"/>
          <w14:ligatures w14:val="standardContextual"/>
        </w:rPr>
        <w:tab/>
      </w:r>
      <w:r>
        <w:rPr>
          <w:noProof/>
        </w:rPr>
        <w:t>Commercial and Industrial Portfolio</w:t>
      </w:r>
      <w:r>
        <w:rPr>
          <w:noProof/>
        </w:rPr>
        <w:tab/>
      </w:r>
      <w:r>
        <w:rPr>
          <w:noProof/>
        </w:rPr>
        <w:fldChar w:fldCharType="begin"/>
      </w:r>
      <w:r>
        <w:rPr>
          <w:noProof/>
        </w:rPr>
        <w:instrText xml:space="preserve"> PAGEREF _Toc157688352 \h </w:instrText>
      </w:r>
      <w:r>
        <w:rPr>
          <w:noProof/>
        </w:rPr>
      </w:r>
      <w:r>
        <w:rPr>
          <w:noProof/>
        </w:rPr>
        <w:fldChar w:fldCharType="separate"/>
      </w:r>
      <w:r>
        <w:rPr>
          <w:noProof/>
        </w:rPr>
        <w:t>1</w:t>
      </w:r>
      <w:r w:rsidR="009E73FB">
        <w:rPr>
          <w:noProof/>
        </w:rPr>
        <w:t>4</w:t>
      </w:r>
      <w:r>
        <w:rPr>
          <w:noProof/>
        </w:rPr>
        <w:fldChar w:fldCharType="end"/>
      </w:r>
    </w:p>
    <w:bookmarkEnd w:id="2"/>
    <w:p w14:paraId="61AD157E" w14:textId="0F6B5A4A" w:rsidR="004949D5" w:rsidRDefault="004949D5" w:rsidP="004949D5">
      <w:pPr>
        <w:pStyle w:val="TOC3"/>
        <w:rPr>
          <w:noProof/>
        </w:rPr>
      </w:pPr>
      <w:r>
        <w:rPr>
          <w:noProof/>
        </w:rPr>
        <w:t>5.1.7</w:t>
      </w:r>
      <w:r>
        <w:rPr>
          <w:rFonts w:asciiTheme="minorHAnsi" w:eastAsiaTheme="minorEastAsia" w:hAnsiTheme="minorHAnsi"/>
          <w:b w:val="0"/>
          <w:noProof/>
          <w:color w:val="auto"/>
          <w:kern w:val="2"/>
          <w:sz w:val="22"/>
          <w:lang w:val="en-US"/>
          <w14:ligatures w14:val="standardContextual"/>
        </w:rPr>
        <w:tab/>
      </w:r>
      <w:r>
        <w:rPr>
          <w:noProof/>
        </w:rPr>
        <w:t>Farms</w:t>
      </w:r>
      <w:r>
        <w:rPr>
          <w:noProof/>
        </w:rPr>
        <w:tab/>
      </w:r>
      <w:r>
        <w:rPr>
          <w:noProof/>
        </w:rPr>
        <w:fldChar w:fldCharType="begin"/>
      </w:r>
      <w:r>
        <w:rPr>
          <w:noProof/>
        </w:rPr>
        <w:instrText xml:space="preserve"> PAGEREF _Toc157688352 \h </w:instrText>
      </w:r>
      <w:r>
        <w:rPr>
          <w:noProof/>
        </w:rPr>
      </w:r>
      <w:r>
        <w:rPr>
          <w:noProof/>
        </w:rPr>
        <w:fldChar w:fldCharType="separate"/>
      </w:r>
      <w:r>
        <w:rPr>
          <w:noProof/>
        </w:rPr>
        <w:t>1</w:t>
      </w:r>
      <w:r w:rsidR="009E73FB">
        <w:rPr>
          <w:noProof/>
        </w:rPr>
        <w:t>4</w:t>
      </w:r>
      <w:r>
        <w:rPr>
          <w:noProof/>
        </w:rPr>
        <w:fldChar w:fldCharType="end"/>
      </w:r>
    </w:p>
    <w:p w14:paraId="48022902" w14:textId="6380E44B" w:rsidR="009F434F" w:rsidRPr="009F434F" w:rsidRDefault="009F434F" w:rsidP="009F434F">
      <w:pPr>
        <w:pStyle w:val="TOC3"/>
        <w:rPr>
          <w:noProof/>
        </w:rPr>
      </w:pPr>
      <w:r>
        <w:rPr>
          <w:noProof/>
        </w:rPr>
        <w:t>5.1.8</w:t>
      </w:r>
      <w:r>
        <w:rPr>
          <w:rFonts w:asciiTheme="minorHAnsi" w:eastAsiaTheme="minorEastAsia" w:hAnsiTheme="minorHAnsi"/>
          <w:b w:val="0"/>
          <w:noProof/>
          <w:color w:val="auto"/>
          <w:kern w:val="2"/>
          <w:sz w:val="22"/>
          <w:lang w:val="en-US"/>
          <w14:ligatures w14:val="standardContextual"/>
        </w:rPr>
        <w:tab/>
      </w:r>
      <w:r>
        <w:rPr>
          <w:noProof/>
        </w:rPr>
        <w:t>Coastal Assets</w:t>
      </w:r>
      <w:r>
        <w:rPr>
          <w:noProof/>
        </w:rPr>
        <w:tab/>
      </w:r>
      <w:r>
        <w:rPr>
          <w:noProof/>
        </w:rPr>
        <w:fldChar w:fldCharType="begin"/>
      </w:r>
      <w:r>
        <w:rPr>
          <w:noProof/>
        </w:rPr>
        <w:instrText xml:space="preserve"> PAGEREF _Toc157688352 \h </w:instrText>
      </w:r>
      <w:r>
        <w:rPr>
          <w:noProof/>
        </w:rPr>
      </w:r>
      <w:r>
        <w:rPr>
          <w:noProof/>
        </w:rPr>
        <w:fldChar w:fldCharType="separate"/>
      </w:r>
      <w:r>
        <w:rPr>
          <w:noProof/>
        </w:rPr>
        <w:t>1</w:t>
      </w:r>
      <w:r w:rsidR="009E73FB">
        <w:rPr>
          <w:noProof/>
        </w:rPr>
        <w:t>5</w:t>
      </w:r>
      <w:r>
        <w:rPr>
          <w:noProof/>
        </w:rPr>
        <w:fldChar w:fldCharType="end"/>
      </w:r>
    </w:p>
    <w:bookmarkEnd w:id="0"/>
    <w:p w14:paraId="311FBFC9" w14:textId="7BE07A23" w:rsidR="0004438C" w:rsidRDefault="004949D5">
      <w:pPr>
        <w:pStyle w:val="TOC2"/>
        <w:rPr>
          <w:noProof/>
        </w:rPr>
      </w:pPr>
      <w:r>
        <w:rPr>
          <w:noProof/>
          <w14:scene3d>
            <w14:camera w14:prst="orthographicFront"/>
            <w14:lightRig w14:rig="threePt" w14:dir="t">
              <w14:rot w14:lat="0" w14:lon="0" w14:rev="0"/>
            </w14:lightRig>
          </w14:scene3d>
        </w:rPr>
        <w:t>5</w:t>
      </w:r>
      <w:r w:rsidR="0004438C" w:rsidRPr="00DF4808">
        <w:rPr>
          <w:noProof/>
          <w14:scene3d>
            <w14:camera w14:prst="orthographicFront"/>
            <w14:lightRig w14:rig="threePt" w14:dir="t">
              <w14:rot w14:lat="0" w14:lon="0" w14:rev="0"/>
            </w14:lightRig>
          </w14:scene3d>
        </w:rPr>
        <w:t>.2</w:t>
      </w:r>
      <w:r w:rsidR="0004438C">
        <w:rPr>
          <w:rFonts w:asciiTheme="minorHAnsi" w:eastAsiaTheme="minorEastAsia" w:hAnsiTheme="minorHAnsi"/>
          <w:b w:val="0"/>
          <w:noProof/>
          <w:color w:val="auto"/>
          <w:kern w:val="2"/>
          <w:sz w:val="22"/>
          <w:lang w:val="en-US"/>
          <w14:ligatures w14:val="standardContextual"/>
        </w:rPr>
        <w:tab/>
      </w:r>
      <w:r>
        <w:rPr>
          <w:noProof/>
        </w:rPr>
        <w:t>Open Space</w:t>
      </w:r>
      <w:r w:rsidR="0004438C">
        <w:rPr>
          <w:noProof/>
        </w:rPr>
        <w:tab/>
      </w:r>
      <w:r w:rsidR="009D393F">
        <w:rPr>
          <w:noProof/>
        </w:rPr>
        <w:t>1</w:t>
      </w:r>
      <w:r w:rsidR="009E73FB">
        <w:rPr>
          <w:noProof/>
        </w:rPr>
        <w:t>5</w:t>
      </w:r>
    </w:p>
    <w:p w14:paraId="42B09AA6" w14:textId="34AA8CD1" w:rsidR="004949D5" w:rsidRDefault="004949D5" w:rsidP="004949D5">
      <w:pPr>
        <w:pStyle w:val="TOC2"/>
        <w:rPr>
          <w:noProof/>
        </w:rPr>
      </w:pPr>
      <w:r>
        <w:rPr>
          <w:noProof/>
          <w14:scene3d>
            <w14:camera w14:prst="orthographicFront"/>
            <w14:lightRig w14:rig="threePt" w14:dir="t">
              <w14:rot w14:lat="0" w14:lon="0" w14:rev="0"/>
            </w14:lightRig>
          </w14:scene3d>
        </w:rPr>
        <w:t>5</w:t>
      </w:r>
      <w:r w:rsidRPr="00DF4808">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3</w:t>
      </w:r>
      <w:r>
        <w:rPr>
          <w:rFonts w:asciiTheme="minorHAnsi" w:eastAsiaTheme="minorEastAsia" w:hAnsiTheme="minorHAnsi"/>
          <w:b w:val="0"/>
          <w:noProof/>
          <w:color w:val="auto"/>
          <w:kern w:val="2"/>
          <w:sz w:val="22"/>
          <w:lang w:val="en-US"/>
          <w14:ligatures w14:val="standardContextual"/>
        </w:rPr>
        <w:tab/>
      </w:r>
      <w:r>
        <w:rPr>
          <w:noProof/>
        </w:rPr>
        <w:t>Roads</w:t>
      </w:r>
      <w:r>
        <w:rPr>
          <w:noProof/>
        </w:rPr>
        <w:tab/>
      </w:r>
      <w:r w:rsidR="009D393F">
        <w:rPr>
          <w:noProof/>
        </w:rPr>
        <w:t>1</w:t>
      </w:r>
      <w:r w:rsidR="009E73FB">
        <w:rPr>
          <w:noProof/>
        </w:rPr>
        <w:t>6</w:t>
      </w:r>
    </w:p>
    <w:p w14:paraId="7C3D2F3D" w14:textId="7EB7DF3A" w:rsidR="004949D5" w:rsidRDefault="004949D5" w:rsidP="004949D5">
      <w:pPr>
        <w:pStyle w:val="TOC2"/>
        <w:rPr>
          <w:noProof/>
        </w:rPr>
      </w:pPr>
      <w:r>
        <w:rPr>
          <w:noProof/>
          <w14:scene3d>
            <w14:camera w14:prst="orthographicFront"/>
            <w14:lightRig w14:rig="threePt" w14:dir="t">
              <w14:rot w14:lat="0" w14:lon="0" w14:rev="0"/>
            </w14:lightRig>
          </w14:scene3d>
        </w:rPr>
        <w:t>5</w:t>
      </w:r>
      <w:r w:rsidRPr="00DF4808">
        <w:rPr>
          <w:noProof/>
          <w14:scene3d>
            <w14:camera w14:prst="orthographicFront"/>
            <w14:lightRig w14:rig="threePt" w14:dir="t">
              <w14:rot w14:lat="0" w14:lon="0" w14:rev="0"/>
            </w14:lightRig>
          </w14:scene3d>
        </w:rPr>
        <w:t>.</w:t>
      </w:r>
      <w:r>
        <w:rPr>
          <w:noProof/>
          <w14:scene3d>
            <w14:camera w14:prst="orthographicFront"/>
            <w14:lightRig w14:rig="threePt" w14:dir="t">
              <w14:rot w14:lat="0" w14:lon="0" w14:rev="0"/>
            </w14:lightRig>
          </w14:scene3d>
        </w:rPr>
        <w:t>4</w:t>
      </w:r>
      <w:r>
        <w:rPr>
          <w:rFonts w:asciiTheme="minorHAnsi" w:eastAsiaTheme="minorEastAsia" w:hAnsiTheme="minorHAnsi"/>
          <w:b w:val="0"/>
          <w:noProof/>
          <w:color w:val="auto"/>
          <w:kern w:val="2"/>
          <w:sz w:val="22"/>
          <w:lang w:val="en-US"/>
          <w14:ligatures w14:val="standardContextual"/>
        </w:rPr>
        <w:tab/>
      </w:r>
      <w:r>
        <w:rPr>
          <w:noProof/>
        </w:rPr>
        <w:t>Fleet</w:t>
      </w:r>
      <w:r>
        <w:rPr>
          <w:noProof/>
        </w:rPr>
        <w:tab/>
      </w:r>
      <w:r w:rsidR="009D393F">
        <w:rPr>
          <w:noProof/>
        </w:rPr>
        <w:t>1</w:t>
      </w:r>
      <w:r w:rsidR="009E73FB">
        <w:rPr>
          <w:noProof/>
        </w:rPr>
        <w:t>7</w:t>
      </w:r>
    </w:p>
    <w:p w14:paraId="2A0D5CFC" w14:textId="7994AAF6" w:rsidR="0004438C" w:rsidRDefault="00146E96">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5</w:t>
      </w:r>
      <w:r w:rsidR="0004438C" w:rsidRPr="00DF4808">
        <w:rPr>
          <w:noProof/>
          <w14:scene3d>
            <w14:camera w14:prst="orthographicFront"/>
            <w14:lightRig w14:rig="threePt" w14:dir="t">
              <w14:rot w14:lat="0" w14:lon="0" w14:rev="0"/>
            </w14:lightRig>
          </w14:scene3d>
        </w:rPr>
        <w:t>.</w:t>
      </w:r>
      <w:r w:rsidR="004949D5">
        <w:rPr>
          <w:noProof/>
          <w14:scene3d>
            <w14:camera w14:prst="orthographicFront"/>
            <w14:lightRig w14:rig="threePt" w14:dir="t">
              <w14:rot w14:lat="0" w14:lon="0" w14:rev="0"/>
            </w14:lightRig>
          </w14:scene3d>
        </w:rPr>
        <w:t>5</w:t>
      </w:r>
      <w:r w:rsidR="0004438C">
        <w:rPr>
          <w:rFonts w:asciiTheme="minorHAnsi" w:eastAsiaTheme="minorEastAsia" w:hAnsiTheme="minorHAnsi"/>
          <w:b w:val="0"/>
          <w:noProof/>
          <w:color w:val="auto"/>
          <w:kern w:val="2"/>
          <w:sz w:val="22"/>
          <w:lang w:val="en-US"/>
          <w14:ligatures w14:val="standardContextual"/>
        </w:rPr>
        <w:tab/>
      </w:r>
      <w:r w:rsidR="004949D5">
        <w:rPr>
          <w:noProof/>
        </w:rPr>
        <w:t>Information and Communications Technology</w:t>
      </w:r>
      <w:r w:rsidR="0004438C">
        <w:rPr>
          <w:noProof/>
        </w:rPr>
        <w:tab/>
      </w:r>
      <w:r w:rsidR="009D393F">
        <w:rPr>
          <w:noProof/>
        </w:rPr>
        <w:t>1</w:t>
      </w:r>
      <w:r w:rsidR="009E73FB">
        <w:rPr>
          <w:noProof/>
        </w:rPr>
        <w:t>8</w:t>
      </w:r>
    </w:p>
    <w:p w14:paraId="1B64CF01" w14:textId="7C661822" w:rsidR="0004438C" w:rsidRDefault="00146E96">
      <w:pPr>
        <w:pStyle w:val="TOC1"/>
        <w:rPr>
          <w:rFonts w:asciiTheme="minorHAnsi" w:eastAsiaTheme="minorEastAsia" w:hAnsiTheme="minorHAnsi"/>
          <w:b w:val="0"/>
          <w:noProof/>
          <w:color w:val="auto"/>
          <w:kern w:val="2"/>
          <w:lang w:val="en-US"/>
          <w14:ligatures w14:val="standardContextual"/>
        </w:rPr>
      </w:pPr>
      <w:r>
        <w:rPr>
          <w:noProof/>
        </w:rPr>
        <w:t>6</w:t>
      </w:r>
      <w:r w:rsidR="0004438C">
        <w:rPr>
          <w:rFonts w:asciiTheme="minorHAnsi" w:eastAsiaTheme="minorEastAsia" w:hAnsiTheme="minorHAnsi"/>
          <w:b w:val="0"/>
          <w:noProof/>
          <w:color w:val="auto"/>
          <w:kern w:val="2"/>
          <w:lang w:val="en-US"/>
          <w14:ligatures w14:val="standardContextual"/>
        </w:rPr>
        <w:tab/>
      </w:r>
      <w:r w:rsidR="009D393F">
        <w:rPr>
          <w:noProof/>
        </w:rPr>
        <w:t>Strategic Drivers</w:t>
      </w:r>
      <w:r w:rsidR="0004438C">
        <w:rPr>
          <w:noProof/>
        </w:rPr>
        <w:tab/>
      </w:r>
      <w:r w:rsidR="005B5F1B">
        <w:rPr>
          <w:noProof/>
        </w:rPr>
        <w:t>20</w:t>
      </w:r>
    </w:p>
    <w:p w14:paraId="05661084" w14:textId="59189C50" w:rsidR="0004438C" w:rsidRDefault="009F434F">
      <w:pPr>
        <w:pStyle w:val="TOC2"/>
        <w:rPr>
          <w:noProof/>
        </w:rPr>
      </w:pPr>
      <w:bookmarkStart w:id="3" w:name="_Hlk161580121"/>
      <w:r>
        <w:rPr>
          <w:noProof/>
          <w14:scene3d>
            <w14:camera w14:prst="orthographicFront"/>
            <w14:lightRig w14:rig="threePt" w14:dir="t">
              <w14:rot w14:lat="0" w14:lon="0" w14:rev="0"/>
            </w14:lightRig>
          </w14:scene3d>
        </w:rPr>
        <w:t>6</w:t>
      </w:r>
      <w:r w:rsidR="0004438C" w:rsidRPr="00DF4808">
        <w:rPr>
          <w:noProof/>
          <w14:scene3d>
            <w14:camera w14:prst="orthographicFront"/>
            <w14:lightRig w14:rig="threePt" w14:dir="t">
              <w14:rot w14:lat="0" w14:lon="0" w14:rev="0"/>
            </w14:lightRig>
          </w14:scene3d>
        </w:rPr>
        <w:t>.1</w:t>
      </w:r>
      <w:r w:rsidR="0004438C">
        <w:rPr>
          <w:rFonts w:asciiTheme="minorHAnsi" w:eastAsiaTheme="minorEastAsia" w:hAnsiTheme="minorHAnsi"/>
          <w:b w:val="0"/>
          <w:noProof/>
          <w:color w:val="auto"/>
          <w:kern w:val="2"/>
          <w:sz w:val="22"/>
          <w:lang w:val="en-US"/>
          <w14:ligatures w14:val="standardContextual"/>
        </w:rPr>
        <w:tab/>
      </w:r>
      <w:r>
        <w:rPr>
          <w:noProof/>
        </w:rPr>
        <w:t>Council Policy</w:t>
      </w:r>
      <w:r w:rsidR="0004438C">
        <w:rPr>
          <w:noProof/>
        </w:rPr>
        <w:tab/>
      </w:r>
      <w:r w:rsidR="0004438C">
        <w:rPr>
          <w:noProof/>
        </w:rPr>
        <w:fldChar w:fldCharType="begin"/>
      </w:r>
      <w:r w:rsidR="0004438C">
        <w:rPr>
          <w:noProof/>
        </w:rPr>
        <w:instrText xml:space="preserve"> PAGEREF _Toc157688354 \h </w:instrText>
      </w:r>
      <w:r w:rsidR="0004438C">
        <w:rPr>
          <w:noProof/>
        </w:rPr>
      </w:r>
      <w:r w:rsidR="0004438C">
        <w:rPr>
          <w:noProof/>
        </w:rPr>
        <w:fldChar w:fldCharType="separate"/>
      </w:r>
      <w:r w:rsidR="005B5F1B">
        <w:rPr>
          <w:noProof/>
        </w:rPr>
        <w:t>20</w:t>
      </w:r>
      <w:r w:rsidR="0004438C">
        <w:rPr>
          <w:noProof/>
        </w:rPr>
        <w:fldChar w:fldCharType="end"/>
      </w:r>
    </w:p>
    <w:p w14:paraId="37943F71" w14:textId="4262CF95" w:rsidR="0004438C" w:rsidRDefault="009F434F">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6</w:t>
      </w:r>
      <w:r w:rsidR="0004438C" w:rsidRPr="00DF4808">
        <w:rPr>
          <w:noProof/>
          <w14:scene3d>
            <w14:camera w14:prst="orthographicFront"/>
            <w14:lightRig w14:rig="threePt" w14:dir="t">
              <w14:rot w14:lat="0" w14:lon="0" w14:rev="0"/>
            </w14:lightRig>
          </w14:scene3d>
        </w:rPr>
        <w:t>.2</w:t>
      </w:r>
      <w:r w:rsidR="0004438C">
        <w:rPr>
          <w:rFonts w:asciiTheme="minorHAnsi" w:eastAsiaTheme="minorEastAsia" w:hAnsiTheme="minorHAnsi"/>
          <w:b w:val="0"/>
          <w:noProof/>
          <w:color w:val="auto"/>
          <w:kern w:val="2"/>
          <w:sz w:val="22"/>
          <w:lang w:val="en-US"/>
          <w14:ligatures w14:val="standardContextual"/>
        </w:rPr>
        <w:tab/>
      </w:r>
      <w:r>
        <w:rPr>
          <w:noProof/>
        </w:rPr>
        <w:t>National Policy</w:t>
      </w:r>
      <w:r w:rsidR="0004438C">
        <w:rPr>
          <w:noProof/>
        </w:rPr>
        <w:tab/>
      </w:r>
      <w:r w:rsidR="0004438C">
        <w:rPr>
          <w:noProof/>
        </w:rPr>
        <w:fldChar w:fldCharType="begin"/>
      </w:r>
      <w:r w:rsidR="0004438C">
        <w:rPr>
          <w:noProof/>
        </w:rPr>
        <w:instrText xml:space="preserve"> PAGEREF _Toc157688355 \h </w:instrText>
      </w:r>
      <w:r w:rsidR="0004438C">
        <w:rPr>
          <w:noProof/>
        </w:rPr>
      </w:r>
      <w:r w:rsidR="0004438C">
        <w:rPr>
          <w:noProof/>
        </w:rPr>
        <w:fldChar w:fldCharType="separate"/>
      </w:r>
      <w:r w:rsidR="009E73FB">
        <w:rPr>
          <w:noProof/>
        </w:rPr>
        <w:t>2</w:t>
      </w:r>
      <w:r w:rsidR="005B5F1B">
        <w:rPr>
          <w:noProof/>
        </w:rPr>
        <w:t>1</w:t>
      </w:r>
      <w:r w:rsidR="0004438C">
        <w:rPr>
          <w:noProof/>
        </w:rPr>
        <w:fldChar w:fldCharType="end"/>
      </w:r>
    </w:p>
    <w:bookmarkEnd w:id="3"/>
    <w:p w14:paraId="459DFC21" w14:textId="67A3AD2A" w:rsidR="0004438C" w:rsidRDefault="009F434F">
      <w:pPr>
        <w:pStyle w:val="TOC2"/>
        <w:rPr>
          <w:rFonts w:asciiTheme="minorHAnsi" w:eastAsiaTheme="minorEastAsia" w:hAnsiTheme="minorHAnsi"/>
          <w:b w:val="0"/>
          <w:noProof/>
          <w:color w:val="auto"/>
          <w:kern w:val="2"/>
          <w:sz w:val="22"/>
          <w:lang w:val="en-US"/>
          <w14:ligatures w14:val="standardContextual"/>
        </w:rPr>
      </w:pPr>
      <w:r>
        <w:rPr>
          <w:noProof/>
          <w14:scene3d>
            <w14:camera w14:prst="orthographicFront"/>
            <w14:lightRig w14:rig="threePt" w14:dir="t">
              <w14:rot w14:lat="0" w14:lon="0" w14:rev="0"/>
            </w14:lightRig>
          </w14:scene3d>
        </w:rPr>
        <w:t>6</w:t>
      </w:r>
      <w:r w:rsidR="0004438C" w:rsidRPr="00DF4808">
        <w:rPr>
          <w:noProof/>
          <w14:scene3d>
            <w14:camera w14:prst="orthographicFront"/>
            <w14:lightRig w14:rig="threePt" w14:dir="t">
              <w14:rot w14:lat="0" w14:lon="0" w14:rev="0"/>
            </w14:lightRig>
          </w14:scene3d>
        </w:rPr>
        <w:t>.3</w:t>
      </w:r>
      <w:r w:rsidR="0004438C">
        <w:rPr>
          <w:rFonts w:asciiTheme="minorHAnsi" w:eastAsiaTheme="minorEastAsia" w:hAnsiTheme="minorHAnsi"/>
          <w:b w:val="0"/>
          <w:noProof/>
          <w:color w:val="auto"/>
          <w:kern w:val="2"/>
          <w:sz w:val="22"/>
          <w:lang w:val="en-US"/>
          <w14:ligatures w14:val="standardContextual"/>
        </w:rPr>
        <w:tab/>
      </w:r>
      <w:r>
        <w:rPr>
          <w:noProof/>
        </w:rPr>
        <w:t>Funding</w:t>
      </w:r>
      <w:r w:rsidR="0004438C">
        <w:rPr>
          <w:noProof/>
        </w:rPr>
        <w:tab/>
      </w:r>
      <w:r w:rsidR="0004438C">
        <w:rPr>
          <w:noProof/>
        </w:rPr>
        <w:fldChar w:fldCharType="begin"/>
      </w:r>
      <w:r w:rsidR="0004438C">
        <w:rPr>
          <w:noProof/>
        </w:rPr>
        <w:instrText xml:space="preserve"> PAGEREF _Toc157688367 \h </w:instrText>
      </w:r>
      <w:r w:rsidR="0004438C">
        <w:rPr>
          <w:noProof/>
        </w:rPr>
      </w:r>
      <w:r w:rsidR="0004438C">
        <w:rPr>
          <w:noProof/>
        </w:rPr>
        <w:fldChar w:fldCharType="separate"/>
      </w:r>
      <w:r w:rsidR="0004438C">
        <w:rPr>
          <w:noProof/>
        </w:rPr>
        <w:t>2</w:t>
      </w:r>
      <w:r w:rsidR="005B5F1B">
        <w:rPr>
          <w:noProof/>
        </w:rPr>
        <w:t>2</w:t>
      </w:r>
      <w:r w:rsidR="0004438C">
        <w:rPr>
          <w:noProof/>
        </w:rPr>
        <w:fldChar w:fldCharType="end"/>
      </w:r>
    </w:p>
    <w:p w14:paraId="03D851FD" w14:textId="738EB8BB" w:rsidR="00AD0E8D" w:rsidRPr="00467555" w:rsidRDefault="00467555" w:rsidP="0010780C">
      <w:r w:rsidRPr="00467555">
        <w:rPr>
          <w:b/>
          <w:color w:val="1E4479" w:themeColor="accent1"/>
          <w:sz w:val="22"/>
        </w:rPr>
        <w:fldChar w:fldCharType="end"/>
      </w: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
        <w:gridCol w:w="2416"/>
        <w:gridCol w:w="2694"/>
        <w:gridCol w:w="1701"/>
        <w:gridCol w:w="2067"/>
      </w:tblGrid>
      <w:tr w:rsidR="00FD2FF0" w:rsidRPr="00467555" w14:paraId="6D2D466C" w14:textId="77777777" w:rsidTr="005C539B">
        <w:trPr>
          <w:trHeight w:val="20"/>
        </w:trPr>
        <w:tc>
          <w:tcPr>
            <w:tcW w:w="986" w:type="dxa"/>
            <w:tcBorders>
              <w:top w:val="single" w:sz="8" w:space="0" w:color="5E6A71" w:themeColor="accent3"/>
            </w:tcBorders>
            <w:vAlign w:val="center"/>
          </w:tcPr>
          <w:p w14:paraId="1CCE10FB" w14:textId="77777777" w:rsidR="00FD2FF0" w:rsidRPr="00467555" w:rsidRDefault="00FD2FF0" w:rsidP="00FD2FF0">
            <w:pPr>
              <w:pStyle w:val="RevHistoryTitles"/>
              <w:framePr w:hSpace="0" w:wrap="auto" w:yAlign="inline"/>
              <w:suppressOverlap w:val="0"/>
            </w:pPr>
            <w:r w:rsidRPr="00467555">
              <w:t>Rev</w:t>
            </w:r>
          </w:p>
        </w:tc>
        <w:tc>
          <w:tcPr>
            <w:tcW w:w="2416" w:type="dxa"/>
            <w:tcBorders>
              <w:top w:val="single" w:sz="8" w:space="0" w:color="5E6A71" w:themeColor="accent3"/>
            </w:tcBorders>
            <w:vAlign w:val="center"/>
          </w:tcPr>
          <w:p w14:paraId="286E3E42" w14:textId="77777777" w:rsidR="00FD2FF0" w:rsidRPr="00467555" w:rsidRDefault="00FD2FF0" w:rsidP="00FD2FF0">
            <w:pPr>
              <w:pStyle w:val="RevHistoryTitles"/>
              <w:framePr w:hSpace="0" w:wrap="auto" w:yAlign="inline"/>
              <w:suppressOverlap w:val="0"/>
            </w:pPr>
            <w:r w:rsidRPr="00467555">
              <w:t>Status</w:t>
            </w:r>
          </w:p>
        </w:tc>
        <w:tc>
          <w:tcPr>
            <w:tcW w:w="2694" w:type="dxa"/>
            <w:tcBorders>
              <w:top w:val="single" w:sz="8" w:space="0" w:color="5E6A71" w:themeColor="accent3"/>
            </w:tcBorders>
            <w:vAlign w:val="center"/>
          </w:tcPr>
          <w:p w14:paraId="285731FC" w14:textId="77777777" w:rsidR="00FD2FF0" w:rsidRPr="00467555" w:rsidRDefault="00FD2FF0" w:rsidP="00FD2FF0">
            <w:pPr>
              <w:pStyle w:val="RevHistoryTitles"/>
              <w:framePr w:hSpace="0" w:wrap="auto" w:yAlign="inline"/>
              <w:suppressOverlap w:val="0"/>
            </w:pPr>
            <w:r w:rsidRPr="00467555">
              <w:t>Originator</w:t>
            </w:r>
          </w:p>
        </w:tc>
        <w:tc>
          <w:tcPr>
            <w:tcW w:w="1701" w:type="dxa"/>
            <w:tcBorders>
              <w:top w:val="single" w:sz="8" w:space="0" w:color="5E6A71" w:themeColor="accent3"/>
            </w:tcBorders>
            <w:vAlign w:val="center"/>
          </w:tcPr>
          <w:p w14:paraId="34255961" w14:textId="77777777" w:rsidR="00FD2FF0" w:rsidRPr="00467555" w:rsidRDefault="00FD2FF0" w:rsidP="00FD2FF0">
            <w:pPr>
              <w:pStyle w:val="RevHistoryTitles"/>
              <w:framePr w:hSpace="0" w:wrap="auto" w:yAlign="inline"/>
              <w:suppressOverlap w:val="0"/>
            </w:pPr>
            <w:r w:rsidRPr="00467555">
              <w:t>Approved</w:t>
            </w:r>
          </w:p>
        </w:tc>
        <w:tc>
          <w:tcPr>
            <w:tcW w:w="2067" w:type="dxa"/>
            <w:tcBorders>
              <w:top w:val="single" w:sz="8" w:space="0" w:color="5E6A71" w:themeColor="accent3"/>
            </w:tcBorders>
            <w:vAlign w:val="center"/>
          </w:tcPr>
          <w:p w14:paraId="17E2A6FF" w14:textId="77777777" w:rsidR="00FD2FF0" w:rsidRPr="00467555" w:rsidRDefault="00FD2FF0" w:rsidP="00FD2FF0">
            <w:pPr>
              <w:pStyle w:val="RevHistoryTitles"/>
              <w:framePr w:hSpace="0" w:wrap="auto" w:yAlign="inline"/>
              <w:suppressOverlap w:val="0"/>
            </w:pPr>
            <w:r w:rsidRPr="00467555">
              <w:t>Date</w:t>
            </w:r>
          </w:p>
        </w:tc>
      </w:tr>
      <w:tr w:rsidR="002969A1" w:rsidRPr="00467555" w14:paraId="69BDDBA4" w14:textId="77777777" w:rsidTr="006D0AF4">
        <w:trPr>
          <w:trHeight w:val="20"/>
        </w:trPr>
        <w:tc>
          <w:tcPr>
            <w:tcW w:w="986" w:type="dxa"/>
            <w:tcBorders>
              <w:bottom w:val="single" w:sz="8" w:space="0" w:color="5E6A71" w:themeColor="accent3"/>
            </w:tcBorders>
          </w:tcPr>
          <w:p w14:paraId="3DA6979F" w14:textId="56C5A954" w:rsidR="002969A1" w:rsidRDefault="00F70939" w:rsidP="008F377A">
            <w:pPr>
              <w:pStyle w:val="Normal-Nospacing"/>
            </w:pPr>
            <w:r>
              <w:t>2</w:t>
            </w:r>
            <w:r w:rsidR="002969A1">
              <w:t>.</w:t>
            </w:r>
            <w:r w:rsidR="000B77C1">
              <w:t>1</w:t>
            </w:r>
          </w:p>
        </w:tc>
        <w:tc>
          <w:tcPr>
            <w:tcW w:w="2416" w:type="dxa"/>
            <w:tcBorders>
              <w:bottom w:val="single" w:sz="8" w:space="0" w:color="5E6A71" w:themeColor="accent3"/>
            </w:tcBorders>
          </w:tcPr>
          <w:p w14:paraId="3B1393D7" w14:textId="7EF99A77" w:rsidR="002969A1" w:rsidRDefault="000B77C1" w:rsidP="008F377A">
            <w:pPr>
              <w:pStyle w:val="Normal-Nospacing"/>
            </w:pPr>
            <w:r>
              <w:t>Final</w:t>
            </w:r>
            <w:r w:rsidR="00DE16D0">
              <w:t xml:space="preserve"> </w:t>
            </w:r>
          </w:p>
        </w:tc>
        <w:tc>
          <w:tcPr>
            <w:tcW w:w="2694" w:type="dxa"/>
            <w:tcBorders>
              <w:bottom w:val="single" w:sz="8" w:space="0" w:color="5E6A71" w:themeColor="accent3"/>
            </w:tcBorders>
          </w:tcPr>
          <w:p w14:paraId="791B7A37" w14:textId="65235CBC" w:rsidR="002969A1" w:rsidRDefault="00A80B3F" w:rsidP="008F377A">
            <w:pPr>
              <w:pStyle w:val="Normal-Nospacing"/>
            </w:pPr>
            <w:r>
              <w:t>E</w:t>
            </w:r>
            <w:r w:rsidR="00DE16D0">
              <w:t xml:space="preserve">. </w:t>
            </w:r>
            <w:r>
              <w:t>Montgomery</w:t>
            </w:r>
          </w:p>
        </w:tc>
        <w:tc>
          <w:tcPr>
            <w:tcW w:w="1701" w:type="dxa"/>
            <w:tcBorders>
              <w:bottom w:val="single" w:sz="8" w:space="0" w:color="5E6A71" w:themeColor="accent3"/>
            </w:tcBorders>
          </w:tcPr>
          <w:p w14:paraId="2E2C8B64" w14:textId="51C5DB13" w:rsidR="002969A1" w:rsidRDefault="00A80B3F" w:rsidP="008F377A">
            <w:pPr>
              <w:pStyle w:val="Normal-Nospacing"/>
            </w:pPr>
            <w:r>
              <w:t>S</w:t>
            </w:r>
            <w:r w:rsidR="00DE16D0">
              <w:t xml:space="preserve">. </w:t>
            </w:r>
            <w:r>
              <w:t>Jamieson</w:t>
            </w:r>
            <w:r w:rsidR="00F70939">
              <w:t xml:space="preserve"> / </w:t>
            </w:r>
            <w:r w:rsidR="000B77C1">
              <w:t>E&amp;R Committee</w:t>
            </w:r>
          </w:p>
        </w:tc>
        <w:tc>
          <w:tcPr>
            <w:tcW w:w="2067" w:type="dxa"/>
            <w:tcBorders>
              <w:bottom w:val="single" w:sz="8" w:space="0" w:color="5E6A71" w:themeColor="accent3"/>
            </w:tcBorders>
          </w:tcPr>
          <w:p w14:paraId="7DEC3518" w14:textId="0F7F5E4C" w:rsidR="002969A1" w:rsidRDefault="000B77C1" w:rsidP="008F377A">
            <w:pPr>
              <w:pStyle w:val="Normal-Nospacing"/>
            </w:pPr>
            <w:r>
              <w:t>16</w:t>
            </w:r>
            <w:r w:rsidR="0004438C">
              <w:t xml:space="preserve"> </w:t>
            </w:r>
            <w:r>
              <w:t>May</w:t>
            </w:r>
            <w:r w:rsidR="0004438C">
              <w:t xml:space="preserve"> </w:t>
            </w:r>
            <w:r w:rsidR="00DE16D0">
              <w:t>2024</w:t>
            </w:r>
          </w:p>
        </w:tc>
      </w:tr>
      <w:tr w:rsidR="00FD2FF0" w:rsidRPr="00467555" w14:paraId="5093AE23" w14:textId="77777777" w:rsidTr="005C539B">
        <w:trPr>
          <w:trHeight w:val="438"/>
        </w:trPr>
        <w:tc>
          <w:tcPr>
            <w:tcW w:w="9864" w:type="dxa"/>
            <w:gridSpan w:val="5"/>
            <w:tcBorders>
              <w:top w:val="single" w:sz="8" w:space="0" w:color="5E6A71" w:themeColor="accent3"/>
              <w:bottom w:val="single" w:sz="8" w:space="0" w:color="5E6A71" w:themeColor="accent3"/>
            </w:tcBorders>
          </w:tcPr>
          <w:p w14:paraId="2FCC6D8E" w14:textId="735E56DC" w:rsidR="00FD2FF0" w:rsidRPr="00467555" w:rsidRDefault="00FD2FF0" w:rsidP="00FD2FF0">
            <w:pPr>
              <w:pStyle w:val="Normal-Nospacing"/>
            </w:pPr>
          </w:p>
        </w:tc>
      </w:tr>
      <w:tr w:rsidR="00FD2FF0" w:rsidRPr="00467555" w14:paraId="3DAB8F63" w14:textId="77777777" w:rsidTr="005C539B">
        <w:tc>
          <w:tcPr>
            <w:tcW w:w="9864" w:type="dxa"/>
            <w:gridSpan w:val="5"/>
            <w:tcBorders>
              <w:top w:val="single" w:sz="8" w:space="0" w:color="5E6A71" w:themeColor="accent3"/>
            </w:tcBorders>
          </w:tcPr>
          <w:p w14:paraId="4C8C4E7A" w14:textId="5044EF36" w:rsidR="00FD2FF0" w:rsidRPr="00467555" w:rsidRDefault="00FD2FF0" w:rsidP="00FD2FF0">
            <w:pPr>
              <w:pStyle w:val="Filepath"/>
              <w:framePr w:hSpace="0" w:wrap="auto" w:yAlign="inline"/>
              <w:suppressOverlap w:val="0"/>
            </w:pPr>
          </w:p>
        </w:tc>
      </w:tr>
    </w:tbl>
    <w:p w14:paraId="5607642B" w14:textId="77777777" w:rsidR="007A15B6" w:rsidRPr="00467555" w:rsidRDefault="007A15B6">
      <w:pPr>
        <w:rPr>
          <w:b/>
          <w:color w:val="1E4479" w:themeColor="accent1"/>
          <w:sz w:val="22"/>
        </w:rPr>
        <w:sectPr w:rsidR="007A15B6" w:rsidRPr="00467555" w:rsidSect="00A11384">
          <w:headerReference w:type="even" r:id="rId15"/>
          <w:headerReference w:type="default" r:id="rId16"/>
          <w:footerReference w:type="default" r:id="rId17"/>
          <w:headerReference w:type="first" r:id="rId18"/>
          <w:footerReference w:type="first" r:id="rId19"/>
          <w:pgSz w:w="11906" w:h="16838"/>
          <w:pgMar w:top="2835" w:right="1021" w:bottom="1134" w:left="1021" w:header="992" w:footer="561" w:gutter="0"/>
          <w:cols w:space="708"/>
          <w:docGrid w:linePitch="360"/>
        </w:sectPr>
      </w:pPr>
    </w:p>
    <w:p w14:paraId="1B576E09" w14:textId="6B6EE46A" w:rsidR="006E07FA" w:rsidRDefault="006E07FA" w:rsidP="006E07FA">
      <w:pPr>
        <w:pStyle w:val="Heading1"/>
      </w:pPr>
      <w:bookmarkStart w:id="4" w:name="_Toc152660746"/>
      <w:bookmarkStart w:id="5" w:name="_Toc157688339"/>
      <w:r>
        <w:lastRenderedPageBreak/>
        <w:t>Foreword</w:t>
      </w:r>
      <w:bookmarkEnd w:id="4"/>
      <w:bookmarkEnd w:id="5"/>
    </w:p>
    <w:p w14:paraId="0373B3D6" w14:textId="026AEE1E" w:rsidR="004E21E3" w:rsidRDefault="004E21E3" w:rsidP="004E21E3">
      <w:pPr>
        <w:pStyle w:val="BodyText"/>
      </w:pPr>
      <w:r>
        <w:t xml:space="preserve">Clearly defined strategies are vital to effective Asset Management and the performance of Inverclyde Council. </w:t>
      </w:r>
    </w:p>
    <w:p w14:paraId="3966553C" w14:textId="5A0BDF64" w:rsidR="0042269B" w:rsidRDefault="0042269B" w:rsidP="0042269B">
      <w:pPr>
        <w:pStyle w:val="BodyText"/>
      </w:pPr>
      <w:r>
        <w:t xml:space="preserve">The vision is that the Corporate Asset Management Strategy will provide a modern, efficient and sustainable asset portfolio that fully meets the needs of existing and future service users and employees. </w:t>
      </w:r>
    </w:p>
    <w:p w14:paraId="25E0A4DB" w14:textId="77777777" w:rsidR="0042269B" w:rsidRDefault="0042269B" w:rsidP="0042269B">
      <w:pPr>
        <w:pStyle w:val="BodyText"/>
      </w:pPr>
      <w:r>
        <w:t>The Corporate Asset Management Strategy:</w:t>
      </w:r>
    </w:p>
    <w:p w14:paraId="1F57391F" w14:textId="77777777" w:rsidR="0042269B" w:rsidRDefault="0042269B" w:rsidP="0042269B">
      <w:pPr>
        <w:pStyle w:val="BodyText"/>
        <w:numPr>
          <w:ilvl w:val="0"/>
          <w:numId w:val="18"/>
        </w:numPr>
        <w:spacing w:after="120"/>
        <w:ind w:hanging="357"/>
      </w:pPr>
      <w:r>
        <w:t>Delivers a corporate and coordinated approach to asset management;</w:t>
      </w:r>
    </w:p>
    <w:p w14:paraId="6220B7A0" w14:textId="77777777" w:rsidR="0042269B" w:rsidRDefault="0042269B" w:rsidP="0042269B">
      <w:pPr>
        <w:pStyle w:val="BodyText"/>
        <w:numPr>
          <w:ilvl w:val="0"/>
          <w:numId w:val="18"/>
        </w:numPr>
        <w:spacing w:after="120"/>
        <w:ind w:hanging="357"/>
      </w:pPr>
      <w:r>
        <w:t>Provides clear arrangements for the management of assets;</w:t>
      </w:r>
    </w:p>
    <w:p w14:paraId="4CA0793A" w14:textId="77777777" w:rsidR="0042269B" w:rsidRDefault="0042269B" w:rsidP="0042269B">
      <w:pPr>
        <w:pStyle w:val="BodyText"/>
        <w:numPr>
          <w:ilvl w:val="0"/>
          <w:numId w:val="18"/>
        </w:numPr>
        <w:spacing w:after="120"/>
        <w:ind w:hanging="357"/>
      </w:pPr>
      <w:r>
        <w:t>Regularly measures the performance of assets;</w:t>
      </w:r>
    </w:p>
    <w:p w14:paraId="1EFC598D" w14:textId="77777777" w:rsidR="0042269B" w:rsidRDefault="0042269B" w:rsidP="0042269B">
      <w:pPr>
        <w:pStyle w:val="BodyText"/>
        <w:numPr>
          <w:ilvl w:val="0"/>
          <w:numId w:val="18"/>
        </w:numPr>
        <w:spacing w:after="120"/>
        <w:ind w:hanging="357"/>
      </w:pPr>
      <w:r>
        <w:t>Comments on the deliverability of Asset Management Plans within the context of projected capital and revenue resources; and</w:t>
      </w:r>
    </w:p>
    <w:p w14:paraId="6BE6733E" w14:textId="2773289D" w:rsidR="0042269B" w:rsidRDefault="0042269B" w:rsidP="0042269B">
      <w:pPr>
        <w:pStyle w:val="BodyText"/>
        <w:numPr>
          <w:ilvl w:val="0"/>
          <w:numId w:val="18"/>
        </w:numPr>
        <w:spacing w:after="120"/>
      </w:pPr>
      <w:r>
        <w:t>Ensures a fully documented process for the prioritisation of capital investment.</w:t>
      </w:r>
    </w:p>
    <w:p w14:paraId="4D8AB7C8" w14:textId="77777777" w:rsidR="00AB62A4" w:rsidRDefault="00AB62A4" w:rsidP="00AB62A4">
      <w:pPr>
        <w:pStyle w:val="BodyText"/>
        <w:spacing w:after="120"/>
        <w:ind w:left="1151"/>
      </w:pPr>
    </w:p>
    <w:p w14:paraId="4C649FB9" w14:textId="17BE4C23" w:rsidR="004E21E3" w:rsidRDefault="004E21E3" w:rsidP="004E21E3">
      <w:pPr>
        <w:pStyle w:val="BodyText"/>
      </w:pPr>
      <w:r>
        <w:t>The 20</w:t>
      </w:r>
      <w:r w:rsidR="00680DE9">
        <w:t>24</w:t>
      </w:r>
      <w:r>
        <w:t>/2</w:t>
      </w:r>
      <w:r w:rsidR="00680DE9">
        <w:t>8</w:t>
      </w:r>
      <w:r>
        <w:t xml:space="preserve"> Corporate Asset Management Strategy </w:t>
      </w:r>
      <w:r w:rsidR="001A7657">
        <w:t xml:space="preserve">reflects the capital investment levels over the same period approved by the Council on 29 February 2024. The Strategy </w:t>
      </w:r>
      <w:r>
        <w:t>outlines the Council’s approach to Asset Management and how this supports and contributes to the delivery of the strategic priorities in the Inverclyde Alliance</w:t>
      </w:r>
      <w:r w:rsidR="00680DE9">
        <w:t xml:space="preserve"> Partnership </w:t>
      </w:r>
      <w:r>
        <w:t>Plan 20</w:t>
      </w:r>
      <w:r w:rsidR="00AA49D3">
        <w:t>23</w:t>
      </w:r>
      <w:r>
        <w:t>/</w:t>
      </w:r>
      <w:r w:rsidR="00AA49D3">
        <w:t>33</w:t>
      </w:r>
      <w:r>
        <w:t xml:space="preserve"> and the Inverclyde Council Plan 20</w:t>
      </w:r>
      <w:r w:rsidR="00AA49D3">
        <w:t>23</w:t>
      </w:r>
      <w:r>
        <w:t>/2</w:t>
      </w:r>
      <w:r w:rsidR="00AA49D3">
        <w:t>8</w:t>
      </w:r>
      <w:r>
        <w:t xml:space="preserve">, as well as the delivery of the shared wellbeing outcomes to ensure that all our residents are Safe, Healthy, Achieving, Nurtured, Active, Respected and Responsible and Included. </w:t>
      </w:r>
    </w:p>
    <w:p w14:paraId="6629C333" w14:textId="43C41DD2" w:rsidR="004E21E3" w:rsidRDefault="004E21E3" w:rsidP="004E21E3">
      <w:pPr>
        <w:pStyle w:val="BodyText"/>
      </w:pPr>
      <w:r>
        <w:t xml:space="preserve">Over the last </w:t>
      </w:r>
      <w:r w:rsidR="00680DE9">
        <w:t>fifteen</w:t>
      </w:r>
      <w:r>
        <w:t xml:space="preserve"> years the Council has undertaken a significant amount of work on Asset Management Planning. The first Asset Management Plan related to the School Estate (SEMP) which resulted in an ambitious and comprehensive new build and upgrade programme for the full School Estate. Thereafter asset plans were created in respect of the main leisure facilities, the roads assets, office and depot assets, ICT assets</w:t>
      </w:r>
      <w:r w:rsidR="00AA49D3">
        <w:t>,</w:t>
      </w:r>
      <w:r>
        <w:t xml:space="preserve"> and </w:t>
      </w:r>
      <w:r w:rsidR="00AA49D3">
        <w:t>o</w:t>
      </w:r>
      <w:r>
        <w:t>pen space</w:t>
      </w:r>
      <w:r w:rsidR="00AA49D3">
        <w:t xml:space="preserve"> assets</w:t>
      </w:r>
      <w:r>
        <w:t xml:space="preserve">. </w:t>
      </w:r>
      <w:r w:rsidR="001A7657">
        <w:t xml:space="preserve">Most of the increased levels of investment has now come to an end and officers recognise the need to refresh many of the Asset Management Plans over the next year or two which will require one-off funding. </w:t>
      </w:r>
      <w:r>
        <w:t xml:space="preserve">All Asset Management Plans are linked to The Council’s </w:t>
      </w:r>
      <w:r w:rsidR="00AA49D3">
        <w:t>Vision and</w:t>
      </w:r>
      <w:r>
        <w:t xml:space="preserve"> Priorities via the Co</w:t>
      </w:r>
      <w:r w:rsidR="00AA49D3">
        <w:t>mmittee</w:t>
      </w:r>
      <w:r>
        <w:t xml:space="preserve"> D</w:t>
      </w:r>
      <w:r w:rsidR="00AA49D3">
        <w:t>elivery and</w:t>
      </w:r>
      <w:r>
        <w:t xml:space="preserve"> Improvement Plans (CDIPs) with delivery reported throughout the year both as part of the CDIPs but also via cyclical Capital Programme updates. </w:t>
      </w:r>
      <w:bookmarkStart w:id="6" w:name="_Hlk161523718"/>
    </w:p>
    <w:p w14:paraId="071870C5" w14:textId="3C7C7758" w:rsidR="004E21E3" w:rsidRDefault="00AA49D3" w:rsidP="004E21E3">
      <w:pPr>
        <w:pStyle w:val="BodyText"/>
      </w:pPr>
      <w:r>
        <w:t xml:space="preserve">One of the </w:t>
      </w:r>
      <w:r w:rsidR="004E21E3">
        <w:t>most significant challenge</w:t>
      </w:r>
      <w:r>
        <w:t>s</w:t>
      </w:r>
      <w:r w:rsidR="004E21E3">
        <w:t xml:space="preserve"> for the Council over the life of the plan will be the continued delivery of high quality services with a reduced budget</w:t>
      </w:r>
      <w:bookmarkEnd w:id="6"/>
      <w:r w:rsidR="004E21E3">
        <w:t xml:space="preserve">. The Council is also committed to working collaboratively with other </w:t>
      </w:r>
      <w:r>
        <w:t xml:space="preserve">Councils, </w:t>
      </w:r>
      <w:r w:rsidR="004E21E3">
        <w:t>public bodies</w:t>
      </w:r>
      <w:r>
        <w:t>,</w:t>
      </w:r>
      <w:r w:rsidR="004E21E3">
        <w:t xml:space="preserve"> and </w:t>
      </w:r>
      <w:r w:rsidR="00AB62A4">
        <w:t>partners</w:t>
      </w:r>
      <w:r w:rsidR="004E21E3">
        <w:t xml:space="preserve"> to achieve more effective use of combined assets.</w:t>
      </w:r>
    </w:p>
    <w:p w14:paraId="22B2AFED" w14:textId="77777777" w:rsidR="004E21E3" w:rsidRDefault="004E21E3" w:rsidP="004E21E3">
      <w:pPr>
        <w:pStyle w:val="BodyText"/>
      </w:pPr>
      <w:r>
        <w:t>The Corporate Asset Management Strategy is a live document, subject to continuous challenge and review, which provides a framework for the efficient management of the Councils core assets.</w:t>
      </w:r>
    </w:p>
    <w:p w14:paraId="34E7DCB1" w14:textId="77777777" w:rsidR="00F57D8D" w:rsidRDefault="007A31C4" w:rsidP="00F57D8D">
      <w:pPr>
        <w:spacing w:after="200" w:line="276" w:lineRule="auto"/>
      </w:pPr>
      <w:r>
        <w:br w:type="page"/>
      </w:r>
    </w:p>
    <w:p w14:paraId="52D2E089" w14:textId="08B1E108" w:rsidR="000D4FB1" w:rsidRDefault="00F57D8D" w:rsidP="0042269B">
      <w:pPr>
        <w:pStyle w:val="Heading1"/>
      </w:pPr>
      <w:r>
        <w:lastRenderedPageBreak/>
        <w:t>Executive Summary</w:t>
      </w:r>
    </w:p>
    <w:p w14:paraId="026AB862" w14:textId="54F5B118" w:rsidR="00C015D7" w:rsidRDefault="00C015D7" w:rsidP="00C015D7">
      <w:pPr>
        <w:pStyle w:val="BodyText"/>
      </w:pPr>
      <w:r w:rsidRPr="00C015D7">
        <w:t>The effective use of Council assets is a key priority for Inverclyde and the Council aims to deliver on the following actions in its implementation of the Corporate Asset Management Strategy</w:t>
      </w:r>
      <w:r>
        <w:t>:</w:t>
      </w:r>
    </w:p>
    <w:p w14:paraId="4BAE01BE" w14:textId="1F6DAB53" w:rsidR="00C015D7" w:rsidRDefault="00C015D7" w:rsidP="00C015D7">
      <w:pPr>
        <w:pStyle w:val="ListBullet"/>
      </w:pPr>
      <w:r>
        <w:t>Corporate Asset Management Strategy reviewed through the Corporate Management Team;</w:t>
      </w:r>
    </w:p>
    <w:p w14:paraId="6D85B4E1" w14:textId="77777777" w:rsidR="00C015D7" w:rsidRDefault="00C015D7" w:rsidP="00C015D7">
      <w:pPr>
        <w:pStyle w:val="ListBullet"/>
      </w:pPr>
      <w:r>
        <w:t>the continuing development of a corporate approach to the use, management and procurement of assets;</w:t>
      </w:r>
    </w:p>
    <w:p w14:paraId="3D791A4B" w14:textId="699A6561" w:rsidR="00C015D7" w:rsidRDefault="00C015D7" w:rsidP="00C015D7">
      <w:pPr>
        <w:pStyle w:val="ListBullet"/>
      </w:pPr>
      <w:r>
        <w:t xml:space="preserve">ensuring a strong organisational framework for future asset management plans with clear links to the Council’s Committee Delivery </w:t>
      </w:r>
      <w:r w:rsidR="00DD00B4">
        <w:t xml:space="preserve">and </w:t>
      </w:r>
      <w:r>
        <w:t>Improvement Plan process;</w:t>
      </w:r>
    </w:p>
    <w:p w14:paraId="69F28124" w14:textId="70ADD113" w:rsidR="00C015D7" w:rsidRDefault="00C015D7" w:rsidP="00C015D7">
      <w:pPr>
        <w:pStyle w:val="ListBullet"/>
      </w:pPr>
      <w:r>
        <w:t>use of relevant data to monitor and report in performance in support of continuous improvement and to challenge the existing use of, need for, and performance of assets;</w:t>
      </w:r>
    </w:p>
    <w:p w14:paraId="17513060" w14:textId="7E3E6D29" w:rsidR="00C015D7" w:rsidRDefault="00C015D7" w:rsidP="00C015D7">
      <w:pPr>
        <w:pStyle w:val="ListBullet"/>
      </w:pPr>
      <w:r>
        <w:t>identification of efficiency gains through the strategic management of assets;</w:t>
      </w:r>
    </w:p>
    <w:p w14:paraId="20B994BD" w14:textId="77777777" w:rsidR="00C015D7" w:rsidRDefault="00C015D7" w:rsidP="00C015D7">
      <w:pPr>
        <w:pStyle w:val="ListBullet"/>
      </w:pPr>
      <w:r>
        <w:t>ensuring that relevant information is communicated effectively to all stakeholders;</w:t>
      </w:r>
    </w:p>
    <w:p w14:paraId="28325FA1" w14:textId="793A5DB6" w:rsidR="00F57D8D" w:rsidRDefault="00C015D7" w:rsidP="00C015D7">
      <w:pPr>
        <w:pStyle w:val="ListBullet"/>
      </w:pPr>
      <w:r>
        <w:t>promoting new ways of working and incentives for the more efficient use of assets and energy</w:t>
      </w:r>
      <w:r w:rsidR="00294516">
        <w:t xml:space="preserve"> inc</w:t>
      </w:r>
      <w:r w:rsidR="004D134E">
        <w:t>l</w:t>
      </w:r>
      <w:r w:rsidR="00294516">
        <w:t>uding aligning with local and National Net Zero targets</w:t>
      </w:r>
      <w:r>
        <w:t>.</w:t>
      </w:r>
    </w:p>
    <w:p w14:paraId="71E56FF8" w14:textId="77777777" w:rsidR="00F67BA2" w:rsidRDefault="00F67BA2" w:rsidP="00F67BA2">
      <w:pPr>
        <w:pStyle w:val="ListBullet"/>
        <w:numPr>
          <w:ilvl w:val="0"/>
          <w:numId w:val="0"/>
        </w:numPr>
        <w:ind w:left="1077"/>
      </w:pPr>
    </w:p>
    <w:p w14:paraId="47E8E1C1" w14:textId="3053B5A4" w:rsidR="0042269B" w:rsidRDefault="001A7657" w:rsidP="00DD00B4">
      <w:pPr>
        <w:pStyle w:val="BodyText"/>
      </w:pPr>
      <w:r>
        <w:t>During the recent Budget process, the Corporate Management Team frequently highlighted that t</w:t>
      </w:r>
      <w:r w:rsidR="0042269B">
        <w:t xml:space="preserve">he reduced availability of resources, combined with the current inflationary price pressures, will present significant challenges </w:t>
      </w:r>
      <w:r>
        <w:t>in maintaining and developing all assets.</w:t>
      </w:r>
      <w:r w:rsidR="00DD00B4">
        <w:t xml:space="preserve"> Asset planning across the majority of the asset categories will require to be </w:t>
      </w:r>
      <w:r>
        <w:t>refreshed</w:t>
      </w:r>
      <w:r w:rsidR="00F37012">
        <w:t xml:space="preserve"> </w:t>
      </w:r>
      <w:r>
        <w:t>during</w:t>
      </w:r>
      <w:r w:rsidR="00DD00B4">
        <w:t xml:space="preserve"> the lifespan of this strategy</w:t>
      </w:r>
      <w:r>
        <w:t xml:space="preserve"> and this is expected to require a step change in the level of investment in the medium/longer term whilst also encompassing a fundamental review of many of the assets held by the Council. </w:t>
      </w:r>
      <w:r w:rsidR="00DD00B4">
        <w:t xml:space="preserve">The current financial constraints </w:t>
      </w:r>
      <w:r w:rsidR="0042269B">
        <w:t xml:space="preserve">limit what can </w:t>
      </w:r>
      <w:r w:rsidR="00DD00B4">
        <w:t xml:space="preserve">be </w:t>
      </w:r>
      <w:r w:rsidR="0042269B">
        <w:t>achieve</w:t>
      </w:r>
      <w:r w:rsidR="00DD00B4">
        <w:t>d</w:t>
      </w:r>
      <w:r w:rsidR="0042269B">
        <w:t xml:space="preserve"> in terms of improving or sustaining </w:t>
      </w:r>
      <w:r w:rsidR="00DD00B4">
        <w:t xml:space="preserve">the existing </w:t>
      </w:r>
      <w:r w:rsidR="0042269B">
        <w:t>asset base</w:t>
      </w:r>
      <w:r>
        <w:t xml:space="preserve"> with the associated </w:t>
      </w:r>
      <w:r w:rsidR="00DD00B4">
        <w:t>increasing risk of</w:t>
      </w:r>
      <w:r w:rsidR="0042269B">
        <w:t xml:space="preserve"> asset failure</w:t>
      </w:r>
      <w:r w:rsidR="00DD00B4">
        <w:t>s</w:t>
      </w:r>
      <w:r w:rsidR="0042269B">
        <w:t xml:space="preserve"> that </w:t>
      </w:r>
      <w:r w:rsidR="00DD00B4">
        <w:t xml:space="preserve">could </w:t>
      </w:r>
      <w:r w:rsidR="0042269B">
        <w:t>lead to loss of service.</w:t>
      </w:r>
      <w:r>
        <w:t xml:space="preserve"> The CMT recognise this is not a desirable or sustainable approach.</w:t>
      </w:r>
    </w:p>
    <w:p w14:paraId="317A0A2C" w14:textId="673F8A04" w:rsidR="0042269B" w:rsidRDefault="0042269B" w:rsidP="00DD00B4">
      <w:pPr>
        <w:pStyle w:val="BodyText"/>
      </w:pPr>
      <w:r>
        <w:t xml:space="preserve">The </w:t>
      </w:r>
      <w:r w:rsidR="00DD00B4">
        <w:t xml:space="preserve">significant programmes of work and change taken forward across the majority of asset categories over the last 15 years </w:t>
      </w:r>
      <w:r w:rsidR="001A7657">
        <w:t xml:space="preserve">were supported by costed Asset Plans and </w:t>
      </w:r>
      <w:r w:rsidR="00DD00B4">
        <w:t xml:space="preserve">involved the allocation of </w:t>
      </w:r>
      <w:r>
        <w:t>accompanying resources</w:t>
      </w:r>
      <w:r w:rsidR="00DD00B4">
        <w:t>.</w:t>
      </w:r>
      <w:r>
        <w:t xml:space="preserve"> </w:t>
      </w:r>
      <w:r w:rsidR="00DD00B4">
        <w:t xml:space="preserve">The improvements across </w:t>
      </w:r>
      <w:r>
        <w:t xml:space="preserve">the asset base </w:t>
      </w:r>
      <w:r w:rsidR="001A7657">
        <w:t>were</w:t>
      </w:r>
      <w:r w:rsidR="00DD00B4">
        <w:t xml:space="preserve"> achieved </w:t>
      </w:r>
      <w:r>
        <w:t xml:space="preserve">by </w:t>
      </w:r>
      <w:r w:rsidR="00DD00B4">
        <w:t xml:space="preserve">significant </w:t>
      </w:r>
      <w:r w:rsidR="00FD74EA">
        <w:t xml:space="preserve">increases in resource allocation, asset </w:t>
      </w:r>
      <w:r w:rsidR="00DD00B4">
        <w:t xml:space="preserve">rationalisation, investing in new assets, </w:t>
      </w:r>
      <w:r>
        <w:t xml:space="preserve">delivering new facilities or </w:t>
      </w:r>
      <w:r w:rsidR="00DD00B4">
        <w:t>comprehensively</w:t>
      </w:r>
      <w:r>
        <w:t xml:space="preserve"> refurbishing existing </w:t>
      </w:r>
      <w:r w:rsidR="00DD00B4">
        <w:t>facilities</w:t>
      </w:r>
      <w:r>
        <w:t xml:space="preserve">. </w:t>
      </w:r>
      <w:r w:rsidR="00DD00B4">
        <w:t xml:space="preserve">The current available </w:t>
      </w:r>
      <w:r>
        <w:t xml:space="preserve">resources </w:t>
      </w:r>
      <w:r w:rsidR="00DD00B4">
        <w:t xml:space="preserve">as outlined in the </w:t>
      </w:r>
      <w:r w:rsidR="001A7657">
        <w:t>approved 2024/28 Capital Programme</w:t>
      </w:r>
      <w:r w:rsidR="00DD00B4">
        <w:t xml:space="preserve"> </w:t>
      </w:r>
      <w:r>
        <w:t>mean that the focus of the 202</w:t>
      </w:r>
      <w:r w:rsidR="00DD00B4">
        <w:t>4-2028</w:t>
      </w:r>
      <w:r>
        <w:t xml:space="preserve"> Corporate Asset Management Strategy </w:t>
      </w:r>
      <w:r w:rsidR="00DD00B4">
        <w:t>will predomina</w:t>
      </w:r>
      <w:r w:rsidR="00B365DF">
        <w:t>n</w:t>
      </w:r>
      <w:r w:rsidR="00DD00B4">
        <w:t xml:space="preserve">tly be </w:t>
      </w:r>
      <w:r>
        <w:t>on rationalising and reducing the number of operational assets that the council holds.</w:t>
      </w:r>
      <w:r w:rsidR="00DD00B4">
        <w:t xml:space="preserve"> The individual asset plans </w:t>
      </w:r>
      <w:r w:rsidR="00FD74EA">
        <w:t xml:space="preserve">covering the same period </w:t>
      </w:r>
      <w:r w:rsidR="00DD00B4">
        <w:t xml:space="preserve">will also require to identify the priorities for investment of the </w:t>
      </w:r>
      <w:r>
        <w:t xml:space="preserve">available </w:t>
      </w:r>
      <w:r w:rsidR="00DD00B4">
        <w:t xml:space="preserve">limited </w:t>
      </w:r>
      <w:r>
        <w:t xml:space="preserve">capital resources to ensure </w:t>
      </w:r>
      <w:r w:rsidR="00DD00B4">
        <w:t>as far as possible that the overall asset performance indicators are maintained at or near the current levels</w:t>
      </w:r>
      <w:r>
        <w:t>.</w:t>
      </w:r>
    </w:p>
    <w:p w14:paraId="70A54A3E" w14:textId="1BA1E7D0" w:rsidR="00FD74EA" w:rsidRDefault="00FD74EA" w:rsidP="00DD00B4">
      <w:pPr>
        <w:pStyle w:val="BodyText"/>
      </w:pPr>
      <w:r>
        <w:t>In the medium term all asset plans will require to be refreshed and include fully costed plans to support the asset infrastructure elected members wish to maintain. This will require upfront investment</w:t>
      </w:r>
      <w:r w:rsidR="007665CE">
        <w:t xml:space="preserve"> </w:t>
      </w:r>
      <w:r>
        <w:t>in both external and internal resources and thereafter the strong likelihood a significant increase in capital investment levels with the resultant prioritisation within the overall Council Budget.</w:t>
      </w:r>
    </w:p>
    <w:p w14:paraId="4FBBC324" w14:textId="06DA0FC6" w:rsidR="007A31C4" w:rsidRDefault="00F57D8D">
      <w:pPr>
        <w:spacing w:after="200" w:line="276" w:lineRule="auto"/>
      </w:pPr>
      <w:r>
        <w:br w:type="page"/>
      </w:r>
      <w:bookmarkStart w:id="7" w:name="_Hlk161577109"/>
      <w:bookmarkStart w:id="8" w:name="_Hlk161577137"/>
    </w:p>
    <w:p w14:paraId="6B62FA1D" w14:textId="0D1F4073" w:rsidR="006E07FA" w:rsidRDefault="00727D7B" w:rsidP="006E07FA">
      <w:pPr>
        <w:pStyle w:val="Heading1"/>
      </w:pPr>
      <w:bookmarkStart w:id="9" w:name="_Toc152660747"/>
      <w:bookmarkStart w:id="10" w:name="_Toc157688340"/>
      <w:bookmarkStart w:id="11" w:name="_Hlk161576997"/>
      <w:r>
        <w:lastRenderedPageBreak/>
        <w:t>Corporate</w:t>
      </w:r>
      <w:r w:rsidR="006E07FA">
        <w:t xml:space="preserve"> </w:t>
      </w:r>
      <w:r>
        <w:t>Planning</w:t>
      </w:r>
      <w:bookmarkEnd w:id="9"/>
      <w:bookmarkEnd w:id="10"/>
    </w:p>
    <w:p w14:paraId="149D0051" w14:textId="54361466" w:rsidR="007868A7" w:rsidRDefault="00727D7B" w:rsidP="00EE5242">
      <w:pPr>
        <w:pStyle w:val="BodyText"/>
      </w:pPr>
      <w:r w:rsidRPr="00727D7B">
        <w:t xml:space="preserve">Corporate </w:t>
      </w:r>
      <w:bookmarkEnd w:id="11"/>
      <w:r w:rsidRPr="00727D7B">
        <w:t xml:space="preserve">planning in Inverclyde is conducted </w:t>
      </w:r>
      <w:bookmarkEnd w:id="7"/>
      <w:r w:rsidRPr="00727D7B">
        <w:t xml:space="preserve">under the overarching framework of the Inverclyde Alliance </w:t>
      </w:r>
      <w:r>
        <w:t>Partnership</w:t>
      </w:r>
      <w:r w:rsidRPr="00727D7B">
        <w:t xml:space="preserve"> Plan 20</w:t>
      </w:r>
      <w:r>
        <w:t>23</w:t>
      </w:r>
      <w:r w:rsidRPr="00727D7B">
        <w:t>/</w:t>
      </w:r>
      <w:r>
        <w:t>33</w:t>
      </w:r>
      <w:r w:rsidRPr="00CB58C5">
        <w:rPr>
          <w:rStyle w:val="FootnoteReference"/>
        </w:rPr>
        <w:footnoteReference w:id="2"/>
      </w:r>
      <w:r w:rsidRPr="00727D7B">
        <w:t xml:space="preserve"> and the Inverclyde Council Plan 20</w:t>
      </w:r>
      <w:r>
        <w:t>23</w:t>
      </w:r>
      <w:r w:rsidRPr="00727D7B">
        <w:t>/2</w:t>
      </w:r>
      <w:r>
        <w:t>8</w:t>
      </w:r>
      <w:r w:rsidRPr="00CB58C5">
        <w:rPr>
          <w:rStyle w:val="FootnoteReference"/>
        </w:rPr>
        <w:footnoteReference w:id="3"/>
      </w:r>
      <w:r w:rsidR="0060689C">
        <w:t>,</w:t>
      </w:r>
      <w:r w:rsidRPr="00727D7B">
        <w:t xml:space="preserve"> which set out</w:t>
      </w:r>
      <w:r w:rsidR="0060689C" w:rsidRPr="00727D7B">
        <w:t xml:space="preserve"> the </w:t>
      </w:r>
      <w:r w:rsidR="0060689C">
        <w:t>vision, themes and high</w:t>
      </w:r>
      <w:r w:rsidR="0030490E">
        <w:t>-</w:t>
      </w:r>
      <w:r w:rsidR="0060689C">
        <w:t>level outcomes</w:t>
      </w:r>
      <w:r w:rsidR="0060689C" w:rsidRPr="00727D7B">
        <w:t xml:space="preserve"> of the </w:t>
      </w:r>
      <w:r w:rsidR="0030490E">
        <w:t>C</w:t>
      </w:r>
      <w:r w:rsidR="0060689C" w:rsidRPr="00727D7B">
        <w:t>ouncil and its partners for the area</w:t>
      </w:r>
      <w:r w:rsidR="0060689C">
        <w:t>.</w:t>
      </w:r>
      <w:r w:rsidR="00181088">
        <w:t xml:space="preserve"> </w:t>
      </w:r>
    </w:p>
    <w:bookmarkEnd w:id="8"/>
    <w:p w14:paraId="1683B534" w14:textId="14D7525D" w:rsidR="009F0E43" w:rsidRDefault="009F0E43" w:rsidP="009F0E43">
      <w:pPr>
        <w:pStyle w:val="BodyText"/>
        <w:jc w:val="center"/>
      </w:pPr>
      <w:r>
        <w:rPr>
          <w:noProof/>
        </w:rPr>
        <w:drawing>
          <wp:inline distT="0" distB="0" distL="0" distR="0" wp14:anchorId="183ADFD6" wp14:editId="6677899D">
            <wp:extent cx="5450400" cy="3380400"/>
            <wp:effectExtent l="0" t="0" r="0" b="0"/>
            <wp:docPr id="1676829489" name="Picture 1" descr="A map of the inverclyde reg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29489" name="Picture 1" descr="A map of the inverclyde region&#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0400" cy="3380400"/>
                    </a:xfrm>
                    <a:prstGeom prst="rect">
                      <a:avLst/>
                    </a:prstGeom>
                    <a:noFill/>
                    <a:ln>
                      <a:noFill/>
                    </a:ln>
                  </pic:spPr>
                </pic:pic>
              </a:graphicData>
            </a:graphic>
          </wp:inline>
        </w:drawing>
      </w:r>
    </w:p>
    <w:p w14:paraId="69A67406" w14:textId="3CBE2125" w:rsidR="008215B6" w:rsidRPr="00D638FE" w:rsidRDefault="008215B6" w:rsidP="008215B6">
      <w:pPr>
        <w:pStyle w:val="Heading2"/>
      </w:pPr>
      <w:bookmarkStart w:id="12" w:name="_Hlk161523217"/>
      <w:r>
        <w:t xml:space="preserve">Committee Delivery and Improvement Plans </w:t>
      </w:r>
    </w:p>
    <w:p w14:paraId="1022AB76" w14:textId="29D3DE94" w:rsidR="00BA7AC9" w:rsidRDefault="008215B6" w:rsidP="00BA7AC9">
      <w:pPr>
        <w:pStyle w:val="BodyText"/>
      </w:pPr>
      <w:r w:rsidRPr="00BD062F">
        <w:t xml:space="preserve">The </w:t>
      </w:r>
      <w:r w:rsidR="00BA7AC9">
        <w:t xml:space="preserve">Council </w:t>
      </w:r>
      <w:bookmarkEnd w:id="12"/>
      <w:r w:rsidR="00BA7AC9">
        <w:t>has adopted a model with three Delivery and Improvement Plans aligned to Committees along with Service Delivery and Improvement Plans.</w:t>
      </w:r>
      <w:r w:rsidR="00BA7AC9" w:rsidRPr="00BA7AC9">
        <w:t xml:space="preserve"> </w:t>
      </w:r>
      <w:r w:rsidR="00BA7AC9">
        <w:t>The current Committee Delivery and Improvement Plans</w:t>
      </w:r>
      <w:r w:rsidR="00F30C24" w:rsidRPr="00CB58C5">
        <w:rPr>
          <w:rStyle w:val="FootnoteReference"/>
        </w:rPr>
        <w:footnoteReference w:id="4"/>
      </w:r>
      <w:r w:rsidR="00BA7AC9">
        <w:t xml:space="preserve"> cover the period 2023/26 </w:t>
      </w:r>
      <w:bookmarkStart w:id="13" w:name="_Hlk162211149"/>
      <w:r w:rsidR="00BA7AC9">
        <w:t xml:space="preserve">and </w:t>
      </w:r>
      <w:bookmarkStart w:id="14" w:name="_Hlk161577414"/>
      <w:r w:rsidR="00BA7AC9">
        <w:t>capture:</w:t>
      </w:r>
    </w:p>
    <w:p w14:paraId="5A4CDA92" w14:textId="77777777" w:rsidR="00BA7AC9" w:rsidRDefault="00BA7AC9" w:rsidP="00C27D44">
      <w:pPr>
        <w:pStyle w:val="ListBullet"/>
      </w:pPr>
      <w:r>
        <w:t>Actions derived from the Council Plan strategic priorities, cascaded to individual Directorates / services;</w:t>
      </w:r>
    </w:p>
    <w:bookmarkEnd w:id="14"/>
    <w:p w14:paraId="05857C5B" w14:textId="77777777" w:rsidR="00BA7AC9" w:rsidRDefault="00BA7AC9" w:rsidP="00BA7AC9">
      <w:pPr>
        <w:pStyle w:val="ListBullet"/>
      </w:pPr>
      <w:r>
        <w:t>Corporate self-evaluation improvement actions;</w:t>
      </w:r>
    </w:p>
    <w:bookmarkEnd w:id="13"/>
    <w:p w14:paraId="525AFAB6" w14:textId="77777777" w:rsidR="00BA7AC9" w:rsidRDefault="00BA7AC9" w:rsidP="00BA7AC9">
      <w:pPr>
        <w:pStyle w:val="ListBullet"/>
      </w:pPr>
      <w:r>
        <w:t>Priorities relating to areas of strategic service delivery;</w:t>
      </w:r>
    </w:p>
    <w:p w14:paraId="67A6EF71" w14:textId="77777777" w:rsidR="00BA7AC9" w:rsidRDefault="00BA7AC9" w:rsidP="00BA7AC9">
      <w:pPr>
        <w:pStyle w:val="ListBullet"/>
      </w:pPr>
      <w:r>
        <w:t>Improvement actions from External Audit Reports;</w:t>
      </w:r>
    </w:p>
    <w:p w14:paraId="2CAB48F6" w14:textId="77777777" w:rsidR="00BA7AC9" w:rsidRDefault="00BA7AC9" w:rsidP="00BA7AC9">
      <w:pPr>
        <w:pStyle w:val="ListBullet"/>
      </w:pPr>
      <w:r>
        <w:t>Improvement actions arising from Service Review; and</w:t>
      </w:r>
    </w:p>
    <w:p w14:paraId="20941806" w14:textId="0F3F46C2" w:rsidR="0000718A" w:rsidRDefault="00BA7AC9" w:rsidP="0000718A">
      <w:pPr>
        <w:pStyle w:val="ListBullet"/>
      </w:pPr>
      <w:r>
        <w:t>Key Performance Indicators linked to the delivery of the actions.</w:t>
      </w:r>
    </w:p>
    <w:p w14:paraId="64F15B98" w14:textId="77777777" w:rsidR="0000718A" w:rsidRDefault="0000718A" w:rsidP="0000718A">
      <w:pPr>
        <w:pStyle w:val="ListBullet"/>
        <w:numPr>
          <w:ilvl w:val="0"/>
          <w:numId w:val="0"/>
        </w:numPr>
        <w:ind w:left="794"/>
      </w:pPr>
    </w:p>
    <w:p w14:paraId="3573E101" w14:textId="3D0A187A" w:rsidR="0000718A" w:rsidRDefault="0000718A" w:rsidP="0042269B">
      <w:pPr>
        <w:pStyle w:val="ListBullet"/>
        <w:numPr>
          <w:ilvl w:val="0"/>
          <w:numId w:val="0"/>
        </w:numPr>
        <w:ind w:left="794"/>
      </w:pPr>
      <w:r>
        <w:lastRenderedPageBreak/>
        <w:t>Although on a 3-year rolling plan, the delivery and improvement actions are refreshed on an annual basis with performance reports to the Corporate Management Team prior to every second Committee meeting.</w:t>
      </w:r>
    </w:p>
    <w:p w14:paraId="34DFDF1D" w14:textId="3C3DA39A" w:rsidR="0000718A" w:rsidRPr="00D638FE" w:rsidRDefault="0000718A" w:rsidP="0000718A">
      <w:pPr>
        <w:pStyle w:val="Heading2"/>
      </w:pPr>
      <w:bookmarkStart w:id="15" w:name="_Hlk161524727"/>
      <w:bookmarkStart w:id="16" w:name="_Toc152660748"/>
      <w:r>
        <w:t>Asset Management</w:t>
      </w:r>
      <w:r w:rsidR="009F434F">
        <w:t xml:space="preserve"> Planning</w:t>
      </w:r>
      <w:r>
        <w:t xml:space="preserve"> </w:t>
      </w:r>
    </w:p>
    <w:p w14:paraId="0B963E3B" w14:textId="7ABA521D" w:rsidR="00941CC9" w:rsidRDefault="0000718A" w:rsidP="0000718A">
      <w:pPr>
        <w:pStyle w:val="BodyText"/>
      </w:pPr>
      <w:r w:rsidRPr="00BD062F">
        <w:t xml:space="preserve">The </w:t>
      </w:r>
      <w:r w:rsidRPr="0000718A">
        <w:t xml:space="preserve">Council </w:t>
      </w:r>
      <w:bookmarkEnd w:id="15"/>
      <w:r w:rsidRPr="0000718A">
        <w:t>has implemented Asset Management Planning and published its first Corporate Asset Management Strategy in March 2009 which set out the Council’s Strategy for managing and modernising its Assets. Th</w:t>
      </w:r>
      <w:r>
        <w:t>is is the fourth r</w:t>
      </w:r>
      <w:r w:rsidRPr="0000718A">
        <w:t>evision of the Strategy and is intended for the period 20</w:t>
      </w:r>
      <w:r>
        <w:t>24</w:t>
      </w:r>
      <w:r w:rsidRPr="0000718A">
        <w:t xml:space="preserve"> to 202</w:t>
      </w:r>
      <w:r>
        <w:t>8</w:t>
      </w:r>
      <w:r w:rsidRPr="0000718A">
        <w:t>.</w:t>
      </w:r>
    </w:p>
    <w:p w14:paraId="730D5A4A" w14:textId="77777777" w:rsidR="00B85A68" w:rsidRDefault="00941CC9" w:rsidP="0000718A">
      <w:pPr>
        <w:pStyle w:val="BodyText"/>
      </w:pPr>
      <w:r>
        <w:t>Over the last 15 years the Council has undertaken a significant amount of work on Asset Management Planning (AMP) and has used a combination of internal expertise and external peer review in the development of several AMPs. Once created, the AMPs are embedded within the Council’s Committee Delivery and Improvement Plans (CDIPs) and ensure the Capital Programme formulation process has a strong alignment between the Council Plan priorities and capital investment decisions.</w:t>
      </w:r>
    </w:p>
    <w:p w14:paraId="61FE9BC2" w14:textId="245E62BB" w:rsidR="00B85A68" w:rsidRPr="00D638FE" w:rsidRDefault="00B85A68" w:rsidP="00B85A68">
      <w:pPr>
        <w:pStyle w:val="Heading2"/>
      </w:pPr>
      <w:r>
        <w:t xml:space="preserve">Capital Strategy </w:t>
      </w:r>
    </w:p>
    <w:p w14:paraId="75880CE2" w14:textId="2A21B09C" w:rsidR="00066165" w:rsidRDefault="00B85A68" w:rsidP="00B85A68">
      <w:pPr>
        <w:pStyle w:val="BodyText"/>
      </w:pPr>
      <w:r w:rsidRPr="00BD062F">
        <w:t xml:space="preserve">The </w:t>
      </w:r>
      <w:r w:rsidR="00066165">
        <w:t>production of a Capital Strategy</w:t>
      </w:r>
      <w:r w:rsidR="00666E72" w:rsidRPr="00CB58C5">
        <w:rPr>
          <w:rStyle w:val="FootnoteReference"/>
        </w:rPr>
        <w:footnoteReference w:id="5"/>
      </w:r>
      <w:r w:rsidR="00066165">
        <w:t xml:space="preserve"> which is reviewed annually is a requirement of the CIPFA Prudential Code. The document requires to be considered along with the Treasury Strategy and thereafter approved by the Inverclyde Council. It is viewed as being one of the key strategic financial documents along with the Council’s Financial Strategy</w:t>
      </w:r>
      <w:r w:rsidR="00666E72" w:rsidRPr="00CB58C5">
        <w:rPr>
          <w:rStyle w:val="FootnoteReference"/>
        </w:rPr>
        <w:footnoteReference w:id="6"/>
      </w:r>
      <w:r w:rsidR="00066165">
        <w:t xml:space="preserve"> which help govern the strategic direction for the Council’s financial planning.</w:t>
      </w:r>
    </w:p>
    <w:p w14:paraId="6986E9B3" w14:textId="7CCCB107" w:rsidR="00666E72" w:rsidRDefault="00066165" w:rsidP="00666E72">
      <w:pPr>
        <w:pStyle w:val="BodyText"/>
      </w:pPr>
      <w:r>
        <w:t>The Council traditionally approves a rolling three</w:t>
      </w:r>
      <w:r w:rsidR="008319E3">
        <w:t>-</w:t>
      </w:r>
      <w:r>
        <w:t>year Capital Programme each budget cycle. The February 2024 budget saw the approval of a 4</w:t>
      </w:r>
      <w:r w:rsidR="008319E3">
        <w:t>-</w:t>
      </w:r>
      <w:r>
        <w:t>year Capital Programme covering 2024/28 which takes the programme to the end of the current Council.</w:t>
      </w:r>
      <w:r w:rsidRPr="00066165">
        <w:t xml:space="preserve"> </w:t>
      </w:r>
      <w:r>
        <w:t>Annual capital budget allocations are provided for investment in the core assets identified via the Asset Management Plans with these allocations intended to maintain the existing assets to acceptable standards.</w:t>
      </w:r>
    </w:p>
    <w:p w14:paraId="78337124" w14:textId="7A72592E" w:rsidR="00700F2F" w:rsidRPr="004E21E3" w:rsidRDefault="00666E72" w:rsidP="00666E72">
      <w:pPr>
        <w:pStyle w:val="BodyText"/>
      </w:pPr>
      <w:r>
        <w:t>The Capital Strategy emphasises the need for the Council to take a long</w:t>
      </w:r>
      <w:r w:rsidR="008319E3">
        <w:t>-</w:t>
      </w:r>
      <w:r>
        <w:t>term view when taking decisions around Capital investment and specifically to ensure that investment plans are appropriate and financially sustainable in the longer term.</w:t>
      </w:r>
      <w:r w:rsidR="00700F2F">
        <w:br w:type="page"/>
      </w:r>
    </w:p>
    <w:p w14:paraId="7011B81F" w14:textId="600B55D1" w:rsidR="00474033" w:rsidRDefault="00474033" w:rsidP="006E07FA">
      <w:pPr>
        <w:pStyle w:val="Heading1"/>
      </w:pPr>
      <w:bookmarkStart w:id="17" w:name="_Toc157688341"/>
      <w:r>
        <w:lastRenderedPageBreak/>
        <w:t xml:space="preserve">Introduction to </w:t>
      </w:r>
      <w:r w:rsidR="00CF744E">
        <w:t>Asset Management Planning</w:t>
      </w:r>
      <w:bookmarkEnd w:id="16"/>
      <w:bookmarkEnd w:id="17"/>
    </w:p>
    <w:p w14:paraId="0842366D" w14:textId="76187BBF" w:rsidR="00765060" w:rsidRDefault="009F43A8" w:rsidP="00336168">
      <w:pPr>
        <w:pStyle w:val="BodyText"/>
      </w:pPr>
      <w:r w:rsidRPr="009F43A8">
        <w:t>In accordance with the CIPFA “Guide to Asset Management and Capital Planning in Local Authorities” the Council has prepared asset plans under five main sub-groups:</w:t>
      </w:r>
      <w:r>
        <w:t xml:space="preserve"> </w:t>
      </w:r>
    </w:p>
    <w:p w14:paraId="5C3B9D2C" w14:textId="2A7FF79C" w:rsidR="009F43A8" w:rsidRDefault="009F43A8" w:rsidP="00336168">
      <w:pPr>
        <w:pStyle w:val="BodyText"/>
      </w:pPr>
      <w:r w:rsidRPr="00DD4FD7">
        <w:rPr>
          <w:rFonts w:ascii="Arial" w:hAnsi="Arial" w:cs="Arial"/>
          <w:b/>
          <w:noProof/>
          <w:sz w:val="22"/>
        </w:rPr>
        <w:drawing>
          <wp:anchor distT="0" distB="0" distL="114300" distR="114300" simplePos="0" relativeHeight="251659264" behindDoc="0" locked="0" layoutInCell="1" allowOverlap="1" wp14:anchorId="0D6A389F" wp14:editId="35EE56B0">
            <wp:simplePos x="0" y="0"/>
            <wp:positionH relativeFrom="column">
              <wp:posOffset>-511175</wp:posOffset>
            </wp:positionH>
            <wp:positionV relativeFrom="paragraph">
              <wp:posOffset>1905</wp:posOffset>
            </wp:positionV>
            <wp:extent cx="7423200" cy="4676400"/>
            <wp:effectExtent l="0" t="0" r="0" b="0"/>
            <wp:wrapSquare wrapText="bothSides"/>
            <wp:docPr id="1289567660" name="Picture 1" descr="A diagram of a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67660" name="Picture 1" descr="A diagram of a company's company&#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23200" cy="4676400"/>
                    </a:xfrm>
                    <a:prstGeom prst="rect">
                      <a:avLst/>
                    </a:prstGeom>
                    <a:noFill/>
                  </pic:spPr>
                </pic:pic>
              </a:graphicData>
            </a:graphic>
            <wp14:sizeRelH relativeFrom="margin">
              <wp14:pctWidth>0</wp14:pctWidth>
            </wp14:sizeRelH>
            <wp14:sizeRelV relativeFrom="margin">
              <wp14:pctHeight>0</wp14:pctHeight>
            </wp14:sizeRelV>
          </wp:anchor>
        </w:drawing>
      </w:r>
    </w:p>
    <w:p w14:paraId="168CF944" w14:textId="41B7A452" w:rsidR="0099407D" w:rsidRPr="00D638FE" w:rsidRDefault="00524E24" w:rsidP="0099407D">
      <w:pPr>
        <w:pStyle w:val="Heading2"/>
      </w:pPr>
      <w:bookmarkStart w:id="18" w:name="_Hlk162036304"/>
      <w:r>
        <w:t xml:space="preserve">Governance </w:t>
      </w:r>
      <w:r w:rsidR="007B2F0A">
        <w:t>and Leadership</w:t>
      </w:r>
      <w:r w:rsidR="0099407D">
        <w:t xml:space="preserve"> </w:t>
      </w:r>
    </w:p>
    <w:p w14:paraId="697AB37D" w14:textId="3857FC02" w:rsidR="009F43A8" w:rsidRPr="00336168" w:rsidRDefault="0099407D" w:rsidP="0099407D">
      <w:pPr>
        <w:pStyle w:val="BodyText"/>
      </w:pPr>
      <w:r w:rsidRPr="00BD062F">
        <w:t xml:space="preserve">The </w:t>
      </w:r>
      <w:r>
        <w:t xml:space="preserve">Director Environment and Regeneration </w:t>
      </w:r>
      <w:r w:rsidRPr="0099407D">
        <w:t xml:space="preserve">has overall responsibility for the on-going development and implementation of the Corporate Asset Management Strategy. Support is provided by the </w:t>
      </w:r>
      <w:r>
        <w:t xml:space="preserve">Lead </w:t>
      </w:r>
      <w:r w:rsidRPr="0099407D">
        <w:t>Officer</w:t>
      </w:r>
      <w:r>
        <w:t>s</w:t>
      </w:r>
      <w:r w:rsidRPr="0099407D">
        <w:t xml:space="preserve"> from the Service</w:t>
      </w:r>
      <w:r>
        <w:t>s</w:t>
      </w:r>
      <w:r w:rsidRPr="0099407D">
        <w:t xml:space="preserve"> responsible for the implementation of the individual asset plan</w:t>
      </w:r>
      <w:r>
        <w:t>s</w:t>
      </w:r>
      <w:r w:rsidRPr="0099407D">
        <w:t xml:space="preserve"> for</w:t>
      </w:r>
      <w:r>
        <w:t xml:space="preserve"> each asset category</w:t>
      </w:r>
      <w:r w:rsidRPr="0099407D">
        <w:t>.</w:t>
      </w:r>
    </w:p>
    <w:bookmarkEnd w:id="18"/>
    <w:p w14:paraId="70CEEB00" w14:textId="2E978C85" w:rsidR="00A80B3F" w:rsidRDefault="00765060" w:rsidP="00DB64A4">
      <w:pPr>
        <w:pStyle w:val="BodyText"/>
      </w:pPr>
      <w:r w:rsidRPr="00DB64A4">
        <w:t xml:space="preserve">The </w:t>
      </w:r>
      <w:r w:rsidR="00D445A3" w:rsidRPr="00D445A3">
        <w:t>need to manage assets as a corporate resource is key to ensure that decisions to rationalise</w:t>
      </w:r>
      <w:r w:rsidR="00D445A3">
        <w:t>,</w:t>
      </w:r>
      <w:r w:rsidR="00D445A3" w:rsidRPr="00D445A3">
        <w:t xml:space="preserve"> invest </w:t>
      </w:r>
      <w:r w:rsidR="00D445A3">
        <w:t xml:space="preserve">in, </w:t>
      </w:r>
      <w:r w:rsidR="00D445A3" w:rsidRPr="00D445A3">
        <w:t>and</w:t>
      </w:r>
      <w:r w:rsidR="00D445A3">
        <w:t>/or</w:t>
      </w:r>
      <w:r w:rsidR="00D445A3" w:rsidRPr="00D445A3">
        <w:t xml:space="preserve"> acquire </w:t>
      </w:r>
      <w:r w:rsidR="00D445A3">
        <w:t>assets</w:t>
      </w:r>
      <w:r w:rsidR="00D445A3" w:rsidRPr="00D445A3">
        <w:t xml:space="preserve"> to achieve high</w:t>
      </w:r>
      <w:r w:rsidR="00D445A3">
        <w:t>-</w:t>
      </w:r>
      <w:r w:rsidR="00D445A3" w:rsidRPr="00D445A3">
        <w:t xml:space="preserve">level outcomes are considered corporately. This will also ensure that </w:t>
      </w:r>
      <w:r w:rsidR="00D445A3">
        <w:t xml:space="preserve">resources are targeted to support effective and efficient </w:t>
      </w:r>
      <w:r w:rsidR="007B2F0A">
        <w:t xml:space="preserve">service </w:t>
      </w:r>
      <w:r w:rsidR="00D445A3">
        <w:t>delivery</w:t>
      </w:r>
      <w:r w:rsidR="00D445A3" w:rsidRPr="00D445A3">
        <w:t>.</w:t>
      </w:r>
    </w:p>
    <w:p w14:paraId="7A15CC91" w14:textId="77777777" w:rsidR="00CE4371" w:rsidRDefault="00CE4371">
      <w:pPr>
        <w:spacing w:after="200" w:line="276" w:lineRule="auto"/>
        <w:rPr>
          <w:rFonts w:eastAsiaTheme="majorEastAsia" w:cstheme="majorBidi"/>
          <w:b/>
          <w:bCs/>
          <w:color w:val="009FDA" w:themeColor="accent2"/>
          <w:sz w:val="20"/>
          <w:szCs w:val="26"/>
        </w:rPr>
      </w:pPr>
      <w:r>
        <w:br w:type="page"/>
      </w:r>
    </w:p>
    <w:p w14:paraId="59732B8E" w14:textId="204E6217" w:rsidR="00C35925" w:rsidRPr="00D638FE" w:rsidRDefault="00C35925" w:rsidP="00C35925">
      <w:pPr>
        <w:pStyle w:val="Heading2"/>
      </w:pPr>
      <w:r>
        <w:lastRenderedPageBreak/>
        <w:t xml:space="preserve">Operational Asset Management </w:t>
      </w:r>
    </w:p>
    <w:p w14:paraId="325AC1C6" w14:textId="661F2379" w:rsidR="00C35925" w:rsidRDefault="00AA49D3" w:rsidP="00C35925">
      <w:pPr>
        <w:pStyle w:val="BodyText"/>
      </w:pPr>
      <w:r w:rsidRPr="00AA49D3">
        <w:rPr>
          <w:b/>
          <w:bCs/>
        </w:rPr>
        <w:t>Compliance:</w:t>
      </w:r>
      <w:r>
        <w:t xml:space="preserve"> </w:t>
      </w:r>
      <w:r w:rsidR="00A7226B" w:rsidRPr="00A7226B">
        <w:t>Statutory compliance and regulatory codes of practice are an area of priority for the Council in terms of management of its core assets. This area is supported by a number of Council Policies designed to address the safety and wellbeing of Council staff, service users and visitors / customers</w:t>
      </w:r>
      <w:r w:rsidR="00C35925">
        <w:t>:</w:t>
      </w:r>
    </w:p>
    <w:tbl>
      <w:tblPr>
        <w:tblStyle w:val="TurnTown"/>
        <w:tblW w:w="9060" w:type="dxa"/>
        <w:tblInd w:w="794" w:type="dxa"/>
        <w:tblLayout w:type="fixed"/>
        <w:tblLook w:val="04A0" w:firstRow="1" w:lastRow="0" w:firstColumn="1" w:lastColumn="0" w:noHBand="0" w:noVBand="1"/>
      </w:tblPr>
      <w:tblGrid>
        <w:gridCol w:w="2462"/>
        <w:gridCol w:w="6598"/>
      </w:tblGrid>
      <w:tr w:rsidR="00541446" w:rsidRPr="00A00B9E" w14:paraId="0998F22D" w14:textId="77777777" w:rsidTr="00BD2D70">
        <w:trPr>
          <w:cnfStyle w:val="100000000000" w:firstRow="1" w:lastRow="0" w:firstColumn="0" w:lastColumn="0" w:oddVBand="0" w:evenVBand="0" w:oddHBand="0" w:evenHBand="0" w:firstRowFirstColumn="0" w:firstRowLastColumn="0" w:lastRowFirstColumn="0" w:lastRowLastColumn="0"/>
        </w:trPr>
        <w:tc>
          <w:tcPr>
            <w:tcW w:w="9060" w:type="dxa"/>
            <w:gridSpan w:val="2"/>
            <w:tcBorders>
              <w:bottom w:val="single" w:sz="12" w:space="0" w:color="FFFFFF" w:themeColor="background1"/>
            </w:tcBorders>
            <w:vAlign w:val="center"/>
          </w:tcPr>
          <w:p w14:paraId="725031F1" w14:textId="3571E4C5" w:rsidR="00541446" w:rsidRDefault="00541446" w:rsidP="003F462D">
            <w:pPr>
              <w:pStyle w:val="BodyText"/>
              <w:spacing w:after="0"/>
              <w:ind w:left="0"/>
              <w:rPr>
                <w:b/>
                <w:color w:val="FFFFFF"/>
              </w:rPr>
            </w:pPr>
            <w:bookmarkStart w:id="19" w:name="_Hlk162120789"/>
            <w:r>
              <w:rPr>
                <w:b/>
                <w:color w:val="FFFFFF"/>
              </w:rPr>
              <w:t>Compliance</w:t>
            </w:r>
          </w:p>
        </w:tc>
      </w:tr>
      <w:tr w:rsidR="00BD2D70" w:rsidRPr="00A00B9E" w14:paraId="52D0F6C3" w14:textId="77777777" w:rsidTr="00BD2D70">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vAlign w:val="center"/>
          </w:tcPr>
          <w:p w14:paraId="7DF830DF" w14:textId="3A87A8BE" w:rsidR="00541446" w:rsidRPr="00A00B9E" w:rsidRDefault="00BD2D70" w:rsidP="003F462D">
            <w:pPr>
              <w:pStyle w:val="BodyText"/>
              <w:spacing w:after="0"/>
              <w:ind w:left="0"/>
              <w:rPr>
                <w:b/>
                <w:color w:val="FFFFFF"/>
              </w:rPr>
            </w:pPr>
            <w:bookmarkStart w:id="20" w:name="_Hlk162038435"/>
            <w:r>
              <w:rPr>
                <w:b/>
                <w:color w:val="FFFFFF"/>
              </w:rPr>
              <w:t>Asset Category</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vAlign w:val="center"/>
          </w:tcPr>
          <w:p w14:paraId="3577DFC9" w14:textId="73F36A82" w:rsidR="00541446" w:rsidRPr="00A00B9E" w:rsidRDefault="00BD2D70" w:rsidP="003F462D">
            <w:pPr>
              <w:pStyle w:val="BodyText"/>
              <w:spacing w:after="0"/>
              <w:ind w:left="0"/>
              <w:rPr>
                <w:b/>
                <w:color w:val="FFFFFF"/>
              </w:rPr>
            </w:pPr>
            <w:r>
              <w:rPr>
                <w:b/>
                <w:color w:val="FFFFFF"/>
              </w:rPr>
              <w:t>Activity</w:t>
            </w:r>
          </w:p>
        </w:tc>
      </w:tr>
      <w:bookmarkEnd w:id="20"/>
      <w:tr w:rsidR="00541446" w:rsidRPr="00A00B9E" w14:paraId="3F14B91C" w14:textId="77777777" w:rsidTr="00BD2D70">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35978164" w14:textId="6F918477" w:rsidR="00541446" w:rsidRPr="00A00B9E" w:rsidRDefault="00BD2D70" w:rsidP="003F462D">
            <w:pPr>
              <w:pStyle w:val="BodyText"/>
              <w:ind w:left="0"/>
            </w:pPr>
            <w:r>
              <w:t>Property</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104B980C" w14:textId="74028AA3" w:rsidR="00541446" w:rsidRPr="00A00B9E" w:rsidRDefault="007B4280" w:rsidP="003F462D">
            <w:pPr>
              <w:pStyle w:val="BodyText"/>
              <w:ind w:left="0"/>
            </w:pPr>
            <w:r>
              <w:t>Management of Asbestos</w:t>
            </w:r>
            <w:r w:rsidR="00687D82" w:rsidRPr="00CB58C5">
              <w:rPr>
                <w:rStyle w:val="FootnoteReference"/>
              </w:rPr>
              <w:footnoteReference w:id="7"/>
            </w:r>
            <w:r>
              <w:t>; Water Safety &amp; Hygiene</w:t>
            </w:r>
            <w:r w:rsidR="00687D82" w:rsidRPr="00CB58C5">
              <w:rPr>
                <w:rStyle w:val="FootnoteReference"/>
              </w:rPr>
              <w:footnoteReference w:id="8"/>
            </w:r>
            <w:r>
              <w:t>; Fire Risk and Procedures</w:t>
            </w:r>
            <w:r w:rsidR="00687D82" w:rsidRPr="00CB58C5">
              <w:rPr>
                <w:rStyle w:val="FootnoteReference"/>
              </w:rPr>
              <w:footnoteReference w:id="9"/>
            </w:r>
            <w:r>
              <w:t>; Electrical &amp; Portable Appliance Testing (PAT);</w:t>
            </w:r>
            <w:r w:rsidR="00911796">
              <w:t xml:space="preserve"> </w:t>
            </w:r>
            <w:r w:rsidR="00687D82">
              <w:t>Gas Safety; Accessibility (Equality Act/DDA compliance).</w:t>
            </w:r>
          </w:p>
        </w:tc>
      </w:tr>
      <w:tr w:rsidR="00541446" w:rsidRPr="00A00B9E" w14:paraId="06A7563B" w14:textId="77777777" w:rsidTr="00BD2D70">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90E3C38" w14:textId="638C8EED" w:rsidR="00541446" w:rsidRPr="00A00B9E" w:rsidRDefault="00BD2D70" w:rsidP="003F462D">
            <w:pPr>
              <w:pStyle w:val="BodyText"/>
              <w:ind w:left="0"/>
            </w:pPr>
            <w:r>
              <w:t>Open Space</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228EA0A" w14:textId="3090ECE7" w:rsidR="00541446" w:rsidRPr="00A00B9E" w:rsidRDefault="00456F96" w:rsidP="003F462D">
            <w:pPr>
              <w:pStyle w:val="BodyText"/>
              <w:ind w:left="0"/>
            </w:pPr>
            <w:r>
              <w:t>Assets maintained as ‘fit for purpose’</w:t>
            </w:r>
            <w:r w:rsidR="007B4280">
              <w:t xml:space="preserve"> and comply with health &amp; safety / environmental regulations.</w:t>
            </w:r>
          </w:p>
        </w:tc>
      </w:tr>
      <w:tr w:rsidR="00541446" w:rsidRPr="00A00B9E" w14:paraId="06C03494" w14:textId="77777777" w:rsidTr="00BD2D70">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5CA3CBAE" w14:textId="309641B6" w:rsidR="00541446" w:rsidRPr="00A00B9E" w:rsidRDefault="00BD2D70" w:rsidP="003F462D">
            <w:pPr>
              <w:pStyle w:val="BodyText"/>
              <w:ind w:left="0"/>
            </w:pPr>
            <w:r>
              <w:t>Roads</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1868C7A8" w14:textId="70C448C6" w:rsidR="00541446" w:rsidRPr="00A00B9E" w:rsidRDefault="007B4280" w:rsidP="007B4280">
            <w:pPr>
              <w:pStyle w:val="BodyText"/>
              <w:ind w:left="0"/>
            </w:pPr>
            <w:r w:rsidRPr="007B4280">
              <w:t>Roads and re</w:t>
            </w:r>
            <w:r w:rsidR="007B0B82">
              <w:t>corded</w:t>
            </w:r>
            <w:r w:rsidRPr="007B4280">
              <w:t xml:space="preserve"> assets will be inspected </w:t>
            </w:r>
            <w:r w:rsidR="007B0B82">
              <w:t xml:space="preserve">and maintained </w:t>
            </w:r>
            <w:r w:rsidRPr="007B4280">
              <w:t>to ensure compliance with the Roads</w:t>
            </w:r>
            <w:r>
              <w:t xml:space="preserve"> </w:t>
            </w:r>
            <w:r w:rsidRPr="007B4280">
              <w:t xml:space="preserve">(Scotland) Act 1984 and </w:t>
            </w:r>
            <w:r w:rsidR="007B0B82">
              <w:t>to provide</w:t>
            </w:r>
            <w:r w:rsidRPr="007B4280">
              <w:t xml:space="preserve"> a safe public road network</w:t>
            </w:r>
            <w:r>
              <w:t>.</w:t>
            </w:r>
          </w:p>
        </w:tc>
      </w:tr>
      <w:tr w:rsidR="00541446" w:rsidRPr="00A00B9E" w14:paraId="1D238DAD" w14:textId="77777777" w:rsidTr="00BD2D70">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6ADBC41" w14:textId="660E2CB8" w:rsidR="00541446" w:rsidRPr="00A00B9E" w:rsidRDefault="00541446" w:rsidP="003F462D">
            <w:pPr>
              <w:pStyle w:val="BodyText"/>
              <w:ind w:left="0"/>
            </w:pPr>
            <w:r>
              <w:t>F</w:t>
            </w:r>
            <w:r w:rsidR="00BD2D70">
              <w:t>leet</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21BBCB7" w14:textId="0ED83BC5" w:rsidR="00541446" w:rsidRPr="00A00B9E" w:rsidRDefault="00794E83" w:rsidP="003F462D">
            <w:pPr>
              <w:pStyle w:val="BodyText"/>
              <w:ind w:left="0"/>
            </w:pPr>
            <w:r>
              <w:t xml:space="preserve">Fleet assets maintained to </w:t>
            </w:r>
            <w:r w:rsidR="00E24434">
              <w:t>Driver</w:t>
            </w:r>
            <w:r>
              <w:t xml:space="preserve"> </w:t>
            </w:r>
            <w:r w:rsidR="00E24434">
              <w:t>Vehicle Standards</w:t>
            </w:r>
            <w:r>
              <w:t xml:space="preserve"> Agency (</w:t>
            </w:r>
            <w:r w:rsidR="00E24434">
              <w:t>D</w:t>
            </w:r>
            <w:r>
              <w:t>VSA) standard.</w:t>
            </w:r>
            <w:r w:rsidR="007B4280">
              <w:t xml:space="preserve"> </w:t>
            </w:r>
            <w:r>
              <w:t>Comply with ter</w:t>
            </w:r>
            <w:r w:rsidR="007B4280">
              <w:t>m</w:t>
            </w:r>
            <w:r>
              <w:t>s of Council’s Operator License</w:t>
            </w:r>
            <w:r w:rsidR="00456F96">
              <w:t>.</w:t>
            </w:r>
          </w:p>
        </w:tc>
      </w:tr>
      <w:tr w:rsidR="00541446" w:rsidRPr="00A00B9E" w14:paraId="5749BAB4" w14:textId="77777777" w:rsidTr="00BD2D70">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77FEED7A" w14:textId="0D2C6CB1" w:rsidR="00541446" w:rsidRPr="00A00B9E" w:rsidRDefault="00BD2D70" w:rsidP="003F462D">
            <w:pPr>
              <w:pStyle w:val="BodyText"/>
              <w:ind w:left="0"/>
            </w:pPr>
            <w:r>
              <w:t>ICT</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09E9540A" w14:textId="61A73825" w:rsidR="00541446" w:rsidRPr="00A00B9E" w:rsidRDefault="0002222C" w:rsidP="0002222C">
            <w:pPr>
              <w:pStyle w:val="BodyText"/>
              <w:ind w:left="0"/>
            </w:pPr>
            <w:r w:rsidRPr="0002222C">
              <w:t>ICT assets maintained to comply with Public Sector Network (PSN) regulations, the Scottish Government Public Sector Action Plan on Cyber Resilience, and the requirements of the Scottish Wide Area Network.</w:t>
            </w:r>
            <w:r>
              <w:t xml:space="preserve"> </w:t>
            </w:r>
            <w:r w:rsidRPr="0002222C">
              <w:t>Although each has a unique accreditation process there are areas where the audit requirement is mirrored across each organisation. The Council has also completed the Audit process for 2023/24.</w:t>
            </w:r>
          </w:p>
        </w:tc>
      </w:tr>
      <w:bookmarkEnd w:id="19"/>
    </w:tbl>
    <w:p w14:paraId="242FD7B4" w14:textId="77777777" w:rsidR="00541446" w:rsidRPr="00285AF5" w:rsidRDefault="00541446" w:rsidP="00C35925">
      <w:pPr>
        <w:pStyle w:val="BodyText"/>
      </w:pPr>
    </w:p>
    <w:p w14:paraId="2DD3F2BB" w14:textId="77777777" w:rsidR="00C35925" w:rsidRDefault="00C35925" w:rsidP="00DB64A4">
      <w:pPr>
        <w:pStyle w:val="BodyText"/>
      </w:pPr>
    </w:p>
    <w:p w14:paraId="2CAE7DAB" w14:textId="77777777" w:rsidR="00CE4371" w:rsidRDefault="00CE4371">
      <w:pPr>
        <w:spacing w:after="200" w:line="276" w:lineRule="auto"/>
        <w:rPr>
          <w:rFonts w:eastAsiaTheme="majorEastAsia" w:cstheme="majorBidi"/>
          <w:b/>
          <w:bCs/>
          <w:color w:val="009FDA" w:themeColor="accent2"/>
          <w:sz w:val="20"/>
          <w:szCs w:val="26"/>
        </w:rPr>
      </w:pPr>
      <w:r>
        <w:br w:type="page"/>
      </w:r>
    </w:p>
    <w:p w14:paraId="26546F63" w14:textId="1131559F" w:rsidR="0003544C" w:rsidRPr="00D638FE" w:rsidRDefault="0003544C" w:rsidP="0003544C">
      <w:pPr>
        <w:pStyle w:val="Heading2"/>
      </w:pPr>
      <w:r>
        <w:lastRenderedPageBreak/>
        <w:t xml:space="preserve">Asset Data </w:t>
      </w:r>
    </w:p>
    <w:p w14:paraId="69D3126D" w14:textId="674E1F07" w:rsidR="0003544C" w:rsidRDefault="00AA49D3" w:rsidP="0003544C">
      <w:pPr>
        <w:pStyle w:val="BodyText"/>
      </w:pPr>
      <w:bookmarkStart w:id="21" w:name="_Hlk162189744"/>
      <w:r w:rsidRPr="00AA49D3">
        <w:rPr>
          <w:b/>
          <w:bCs/>
        </w:rPr>
        <w:t>Performance</w:t>
      </w:r>
      <w:r w:rsidR="005504BF">
        <w:rPr>
          <w:b/>
          <w:bCs/>
        </w:rPr>
        <w:t xml:space="preserve"> Data</w:t>
      </w:r>
      <w:r w:rsidRPr="00AA49D3">
        <w:rPr>
          <w:b/>
          <w:bCs/>
        </w:rPr>
        <w:t>:</w:t>
      </w:r>
      <w:r>
        <w:t xml:space="preserve"> </w:t>
      </w:r>
      <w:r w:rsidR="0003544C" w:rsidRPr="00285AF5">
        <w:t xml:space="preserve">The management of data and its accuracy/availability is crucial to effective Asset Management allowing informed decisions to be made </w:t>
      </w:r>
      <w:bookmarkEnd w:id="21"/>
      <w:r w:rsidR="0003544C" w:rsidRPr="00285AF5">
        <w:t>based on asset performance. The main indicators used in Asset Management are outlined below</w:t>
      </w:r>
      <w:r w:rsidR="0003544C">
        <w:t>:</w:t>
      </w:r>
    </w:p>
    <w:tbl>
      <w:tblPr>
        <w:tblStyle w:val="TurnTown"/>
        <w:tblW w:w="9060" w:type="dxa"/>
        <w:tblInd w:w="794" w:type="dxa"/>
        <w:tblLayout w:type="fixed"/>
        <w:tblLook w:val="04A0" w:firstRow="1" w:lastRow="0" w:firstColumn="1" w:lastColumn="0" w:noHBand="0" w:noVBand="1"/>
      </w:tblPr>
      <w:tblGrid>
        <w:gridCol w:w="2462"/>
        <w:gridCol w:w="6598"/>
      </w:tblGrid>
      <w:tr w:rsidR="00CE4371" w:rsidRPr="00A00B9E" w14:paraId="51CF90A4" w14:textId="77777777" w:rsidTr="00B57F49">
        <w:trPr>
          <w:cnfStyle w:val="100000000000" w:firstRow="1" w:lastRow="0" w:firstColumn="0" w:lastColumn="0" w:oddVBand="0" w:evenVBand="0" w:oddHBand="0" w:evenHBand="0" w:firstRowFirstColumn="0" w:firstRowLastColumn="0" w:lastRowFirstColumn="0" w:lastRowLastColumn="0"/>
        </w:trPr>
        <w:tc>
          <w:tcPr>
            <w:tcW w:w="9060" w:type="dxa"/>
            <w:gridSpan w:val="2"/>
            <w:tcBorders>
              <w:bottom w:val="single" w:sz="12" w:space="0" w:color="FFFFFF" w:themeColor="background1"/>
            </w:tcBorders>
            <w:vAlign w:val="center"/>
          </w:tcPr>
          <w:p w14:paraId="729824FA" w14:textId="148D1FAB" w:rsidR="00CE4371" w:rsidRDefault="00CE4371" w:rsidP="00B57F49">
            <w:pPr>
              <w:pStyle w:val="BodyText"/>
              <w:spacing w:after="0"/>
              <w:ind w:left="0"/>
              <w:rPr>
                <w:b/>
                <w:color w:val="FFFFFF"/>
              </w:rPr>
            </w:pPr>
            <w:r>
              <w:rPr>
                <w:b/>
                <w:color w:val="FFFFFF"/>
              </w:rPr>
              <w:t>Performance</w:t>
            </w:r>
          </w:p>
        </w:tc>
      </w:tr>
      <w:tr w:rsidR="00CE4371" w:rsidRPr="00A00B9E" w14:paraId="45B1F5B5" w14:textId="77777777" w:rsidTr="00B57F49">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vAlign w:val="center"/>
          </w:tcPr>
          <w:p w14:paraId="22ECCD4E" w14:textId="77777777" w:rsidR="00CE4371" w:rsidRPr="00A00B9E" w:rsidRDefault="00CE4371" w:rsidP="00B57F49">
            <w:pPr>
              <w:pStyle w:val="BodyText"/>
              <w:spacing w:after="0"/>
              <w:ind w:left="0"/>
              <w:rPr>
                <w:b/>
                <w:color w:val="FFFFFF"/>
              </w:rPr>
            </w:pPr>
            <w:r>
              <w:rPr>
                <w:b/>
                <w:color w:val="FFFFFF"/>
              </w:rPr>
              <w:t>Asset Category</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vAlign w:val="center"/>
          </w:tcPr>
          <w:p w14:paraId="718CE820" w14:textId="77777777" w:rsidR="00CE4371" w:rsidRPr="00A00B9E" w:rsidRDefault="00CE4371" w:rsidP="00B57F49">
            <w:pPr>
              <w:pStyle w:val="BodyText"/>
              <w:spacing w:after="0"/>
              <w:ind w:left="0"/>
              <w:rPr>
                <w:b/>
                <w:color w:val="FFFFFF"/>
              </w:rPr>
            </w:pPr>
            <w:r>
              <w:rPr>
                <w:b/>
                <w:color w:val="FFFFFF"/>
              </w:rPr>
              <w:t>Activity</w:t>
            </w:r>
          </w:p>
        </w:tc>
      </w:tr>
      <w:tr w:rsidR="00CE4371" w:rsidRPr="00A00B9E" w14:paraId="5A51B71E" w14:textId="77777777" w:rsidTr="00B57F49">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572BF1C0" w14:textId="77777777" w:rsidR="00CE4371" w:rsidRPr="00A00B9E" w:rsidRDefault="00CE4371" w:rsidP="00B57F49">
            <w:pPr>
              <w:pStyle w:val="BodyText"/>
              <w:ind w:left="0"/>
            </w:pPr>
            <w:r>
              <w:t>Property</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76CA39E9" w14:textId="7214C09E" w:rsidR="00CE4371" w:rsidRDefault="00CE4371" w:rsidP="00B57F49">
            <w:pPr>
              <w:pStyle w:val="BodyText"/>
              <w:ind w:left="0"/>
            </w:pPr>
            <w:r>
              <w:rPr>
                <w:b/>
              </w:rPr>
              <w:t>Condition</w:t>
            </w:r>
            <w:r w:rsidRPr="00285AF5">
              <w:t>: fundamental to assessing risks / liabilities to the Council and establishing investment needs and priorities. Externally procured elemental condition surveys for property (based on Scottish Government Guidance</w:t>
            </w:r>
            <w:r w:rsidRPr="00CB58C5">
              <w:rPr>
                <w:rStyle w:val="FootnoteReference"/>
              </w:rPr>
              <w:footnoteReference w:id="10"/>
            </w:r>
            <w:r w:rsidRPr="00285AF5">
              <w:t>) are undertaken on a 5</w:t>
            </w:r>
            <w:r>
              <w:t>-</w:t>
            </w:r>
            <w:r w:rsidRPr="00285AF5">
              <w:t>year rolling programme with an annual review carried out by Property Services</w:t>
            </w:r>
            <w:r>
              <w:t>.</w:t>
            </w:r>
            <w:r w:rsidRPr="00285AF5">
              <w:t xml:space="preserve"> The surveys also provide an indication of the backlog maintenance and priorities for investment over a ten</w:t>
            </w:r>
            <w:r>
              <w:t>-</w:t>
            </w:r>
            <w:r w:rsidRPr="00285AF5">
              <w:t>year projection.</w:t>
            </w:r>
          </w:p>
          <w:p w14:paraId="41561DC8" w14:textId="73B52FB5" w:rsidR="00CE4371" w:rsidRDefault="00CE4371" w:rsidP="00B57F49">
            <w:pPr>
              <w:pStyle w:val="BodyText"/>
              <w:ind w:left="0"/>
              <w:rPr>
                <w:szCs w:val="28"/>
              </w:rPr>
            </w:pPr>
            <w:r>
              <w:rPr>
                <w:b/>
              </w:rPr>
              <w:t>Suitability</w:t>
            </w:r>
            <w:r w:rsidRPr="00285AF5">
              <w:t xml:space="preserve">: </w:t>
            </w:r>
            <w:r w:rsidRPr="00285AF5">
              <w:rPr>
                <w:szCs w:val="28"/>
              </w:rPr>
              <w:t xml:space="preserve">refers to how well the asset supports Service delivery and is suited to its current use. </w:t>
            </w:r>
            <w:r>
              <w:rPr>
                <w:szCs w:val="28"/>
              </w:rPr>
              <w:t>S</w:t>
            </w:r>
            <w:r w:rsidRPr="00285AF5">
              <w:rPr>
                <w:szCs w:val="28"/>
              </w:rPr>
              <w:t>urveys completed for all properties (taking into account the views of service users) and are reviewed annually</w:t>
            </w:r>
            <w:r>
              <w:rPr>
                <w:szCs w:val="28"/>
              </w:rPr>
              <w:t>. F</w:t>
            </w:r>
            <w:r w:rsidRPr="00285AF5">
              <w:rPr>
                <w:szCs w:val="28"/>
              </w:rPr>
              <w:t>ormat varies</w:t>
            </w:r>
            <w:r>
              <w:rPr>
                <w:szCs w:val="28"/>
              </w:rPr>
              <w:t>,</w:t>
            </w:r>
            <w:r w:rsidRPr="00285AF5">
              <w:rPr>
                <w:szCs w:val="28"/>
              </w:rPr>
              <w:t xml:space="preserve"> detailed guidance</w:t>
            </w:r>
            <w:r w:rsidRPr="00CB58C5">
              <w:rPr>
                <w:rStyle w:val="FootnoteReference"/>
              </w:rPr>
              <w:footnoteReference w:id="11"/>
            </w:r>
            <w:r w:rsidRPr="00285AF5">
              <w:rPr>
                <w:szCs w:val="28"/>
              </w:rPr>
              <w:t xml:space="preserve"> </w:t>
            </w:r>
            <w:r>
              <w:rPr>
                <w:szCs w:val="28"/>
              </w:rPr>
              <w:t>is available</w:t>
            </w:r>
            <w:r w:rsidRPr="00285AF5">
              <w:rPr>
                <w:szCs w:val="28"/>
              </w:rPr>
              <w:t xml:space="preserve"> for the School Estate.</w:t>
            </w:r>
          </w:p>
          <w:p w14:paraId="5CE5D96B" w14:textId="6AE191D5" w:rsidR="00CE4371" w:rsidRDefault="00CE4371" w:rsidP="00CE4371">
            <w:pPr>
              <w:spacing w:after="160" w:line="259" w:lineRule="auto"/>
              <w:contextualSpacing/>
              <w:rPr>
                <w:szCs w:val="28"/>
              </w:rPr>
            </w:pPr>
            <w:r w:rsidRPr="00285AF5">
              <w:rPr>
                <w:b/>
                <w:bCs/>
                <w:szCs w:val="28"/>
              </w:rPr>
              <w:t>Su</w:t>
            </w:r>
            <w:r>
              <w:rPr>
                <w:b/>
                <w:bCs/>
                <w:szCs w:val="28"/>
              </w:rPr>
              <w:t>fficiency</w:t>
            </w:r>
            <w:r w:rsidRPr="00285AF5">
              <w:rPr>
                <w:b/>
                <w:bCs/>
                <w:szCs w:val="28"/>
              </w:rPr>
              <w:t>:</w:t>
            </w:r>
            <w:r w:rsidRPr="00285AF5">
              <w:rPr>
                <w:szCs w:val="28"/>
              </w:rPr>
              <w:t xml:space="preserve"> </w:t>
            </w:r>
            <w:r w:rsidRPr="000E556C">
              <w:rPr>
                <w:szCs w:val="28"/>
              </w:rPr>
              <w:t xml:space="preserve">utilisation or capacity, concerns the demand for / sustainability of an asset and its use now and in the future in terms of supporting Service delivery. </w:t>
            </w:r>
            <w:r>
              <w:rPr>
                <w:szCs w:val="28"/>
              </w:rPr>
              <w:t>C</w:t>
            </w:r>
            <w:r w:rsidRPr="000E556C">
              <w:rPr>
                <w:szCs w:val="28"/>
              </w:rPr>
              <w:t xml:space="preserve">ritical in identifying under-utilised assets for alternative proposals / potential disposal. </w:t>
            </w:r>
            <w:r>
              <w:rPr>
                <w:szCs w:val="28"/>
              </w:rPr>
              <w:t>A</w:t>
            </w:r>
            <w:r w:rsidRPr="000E556C">
              <w:rPr>
                <w:szCs w:val="28"/>
              </w:rPr>
              <w:t>lso highlights where there may be a risk of over-utilising assets and assists in forward planning</w:t>
            </w:r>
            <w:r>
              <w:rPr>
                <w:szCs w:val="28"/>
              </w:rPr>
              <w:t>.</w:t>
            </w:r>
          </w:p>
          <w:p w14:paraId="79BF0DE0" w14:textId="77777777" w:rsidR="00CE4371" w:rsidRPr="000E556C" w:rsidRDefault="00CE4371" w:rsidP="00CE4371">
            <w:pPr>
              <w:spacing w:after="160" w:line="259" w:lineRule="auto"/>
              <w:contextualSpacing/>
              <w:rPr>
                <w:szCs w:val="28"/>
              </w:rPr>
            </w:pPr>
          </w:p>
          <w:p w14:paraId="15977B11" w14:textId="2F2C69E3" w:rsidR="00CE4371" w:rsidRDefault="00CE4371" w:rsidP="00CE4371">
            <w:pPr>
              <w:spacing w:after="160" w:line="259" w:lineRule="auto"/>
              <w:contextualSpacing/>
              <w:rPr>
                <w:szCs w:val="28"/>
              </w:rPr>
            </w:pPr>
            <w:r w:rsidRPr="000E556C">
              <w:rPr>
                <w:b/>
                <w:bCs/>
                <w:szCs w:val="28"/>
              </w:rPr>
              <w:t>Running Costs</w:t>
            </w:r>
            <w:r w:rsidRPr="000E556C">
              <w:rPr>
                <w:szCs w:val="28"/>
              </w:rPr>
              <w:t xml:space="preserve">: cost of operating a given asset and relates to rates, energy/utility, and maintenance costs. </w:t>
            </w:r>
            <w:r>
              <w:rPr>
                <w:szCs w:val="28"/>
              </w:rPr>
              <w:t>C</w:t>
            </w:r>
            <w:r w:rsidRPr="000E556C">
              <w:rPr>
                <w:szCs w:val="28"/>
              </w:rPr>
              <w:t>an also be extended to include soft facilities management costs such as cleaning, caretaking/janitorial etc.</w:t>
            </w:r>
          </w:p>
          <w:p w14:paraId="02FC01CB" w14:textId="77777777" w:rsidR="00CE4371" w:rsidRPr="000E556C" w:rsidRDefault="00CE4371" w:rsidP="00CE4371">
            <w:pPr>
              <w:spacing w:after="160" w:line="259" w:lineRule="auto"/>
              <w:contextualSpacing/>
              <w:rPr>
                <w:szCs w:val="28"/>
              </w:rPr>
            </w:pPr>
          </w:p>
          <w:p w14:paraId="7F107585" w14:textId="77777777" w:rsidR="00CE4371" w:rsidRDefault="00CE4371" w:rsidP="008D2154">
            <w:pPr>
              <w:spacing w:after="160" w:line="259" w:lineRule="auto"/>
              <w:contextualSpacing/>
              <w:rPr>
                <w:szCs w:val="28"/>
              </w:rPr>
            </w:pPr>
            <w:r>
              <w:rPr>
                <w:b/>
                <w:bCs/>
                <w:szCs w:val="28"/>
              </w:rPr>
              <w:t>Value</w:t>
            </w:r>
            <w:r w:rsidRPr="000E556C">
              <w:rPr>
                <w:b/>
                <w:bCs/>
                <w:szCs w:val="28"/>
              </w:rPr>
              <w:t>:</w:t>
            </w:r>
            <w:r w:rsidRPr="000E556C">
              <w:rPr>
                <w:szCs w:val="28"/>
              </w:rPr>
              <w:t xml:space="preserve"> recorded for statutory accounting requirements and insurance purposes (i.e. market value of assets / replacement costs)</w:t>
            </w:r>
            <w:r>
              <w:rPr>
                <w:szCs w:val="28"/>
              </w:rPr>
              <w:t>.</w:t>
            </w:r>
          </w:p>
          <w:p w14:paraId="4BE63A27" w14:textId="61CDB05F" w:rsidR="0042269B" w:rsidRPr="00A00B9E" w:rsidRDefault="0042269B" w:rsidP="008D2154">
            <w:pPr>
              <w:spacing w:after="160" w:line="259" w:lineRule="auto"/>
              <w:contextualSpacing/>
            </w:pPr>
          </w:p>
        </w:tc>
      </w:tr>
      <w:tr w:rsidR="00CE4371" w:rsidRPr="00A00B9E" w14:paraId="6947BCC3" w14:textId="77777777" w:rsidTr="00B57F49">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0BEAE8A5" w14:textId="77777777" w:rsidR="00CE4371" w:rsidRPr="00A00B9E" w:rsidRDefault="00CE4371" w:rsidP="00B57F49">
            <w:pPr>
              <w:pStyle w:val="BodyText"/>
              <w:ind w:left="0"/>
            </w:pPr>
            <w:r>
              <w:t>Open Space</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BC1342A" w14:textId="77777777" w:rsidR="00215496" w:rsidRDefault="00215496" w:rsidP="00215496">
            <w:pPr>
              <w:pStyle w:val="BodyText"/>
              <w:ind w:left="0"/>
            </w:pPr>
            <w:r w:rsidRPr="00215496">
              <w:rPr>
                <w:b/>
                <w:bCs/>
              </w:rPr>
              <w:t>Condition:</w:t>
            </w:r>
            <w:r>
              <w:t xml:space="preserve"> </w:t>
            </w:r>
            <w:r w:rsidRPr="00215496">
              <w:t>open space assets will be maintained to a satisfactory or better condition to</w:t>
            </w:r>
            <w:r>
              <w:t xml:space="preserve"> </w:t>
            </w:r>
            <w:r w:rsidRPr="00215496">
              <w:t>fulfil the needs of local communities</w:t>
            </w:r>
            <w:r w:rsidR="00CE4371">
              <w:t>.</w:t>
            </w:r>
            <w:r>
              <w:t xml:space="preserve"> </w:t>
            </w:r>
          </w:p>
          <w:p w14:paraId="4DEBC740" w14:textId="04CD10F1" w:rsidR="00CE4371" w:rsidRPr="00A00B9E" w:rsidRDefault="00215496" w:rsidP="00215496">
            <w:pPr>
              <w:pStyle w:val="BodyText"/>
              <w:ind w:left="0"/>
            </w:pPr>
            <w:r w:rsidRPr="00215496">
              <w:rPr>
                <w:b/>
                <w:bCs/>
              </w:rPr>
              <w:t>LGBF:</w:t>
            </w:r>
            <w:r>
              <w:t xml:space="preserve"> </w:t>
            </w:r>
            <w:r w:rsidRPr="00215496">
              <w:t xml:space="preserve">Percentage of </w:t>
            </w:r>
            <w:r w:rsidR="00D454C5">
              <w:t xml:space="preserve">adults satisfied with parks and </w:t>
            </w:r>
            <w:r w:rsidRPr="00215496">
              <w:t>open spaces.</w:t>
            </w:r>
          </w:p>
        </w:tc>
      </w:tr>
      <w:tr w:rsidR="00CE4371" w:rsidRPr="00A00B9E" w14:paraId="2829B1E1" w14:textId="77777777" w:rsidTr="00B57F49">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00216EDE" w14:textId="77777777" w:rsidR="00CE4371" w:rsidRPr="00A00B9E" w:rsidRDefault="00CE4371" w:rsidP="00B57F49">
            <w:pPr>
              <w:pStyle w:val="BodyText"/>
              <w:ind w:left="0"/>
            </w:pPr>
            <w:r>
              <w:t>Roads</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1DA6EEF3" w14:textId="1C7DEA8E" w:rsidR="00CE4371" w:rsidRPr="00A00B9E" w:rsidRDefault="0042269B" w:rsidP="00B57F49">
            <w:pPr>
              <w:pStyle w:val="BodyText"/>
              <w:ind w:left="0"/>
            </w:pPr>
            <w:r w:rsidRPr="0042269B">
              <w:rPr>
                <w:b/>
                <w:bCs/>
              </w:rPr>
              <w:t>Road Condition Indicator (RCI):</w:t>
            </w:r>
            <w:r>
              <w:t xml:space="preserve"> </w:t>
            </w:r>
            <w:r w:rsidRPr="0042269B">
              <w:t>relates to the maintenance categorisation of roads</w:t>
            </w:r>
            <w:r>
              <w:t xml:space="preserve"> and t</w:t>
            </w:r>
            <w:r w:rsidRPr="0042269B">
              <w:t>he percentages of roads that should be considered for maintenance treatment</w:t>
            </w:r>
            <w:r w:rsidR="00CE4371">
              <w:t>.</w:t>
            </w:r>
          </w:p>
        </w:tc>
      </w:tr>
      <w:tr w:rsidR="00CE4371" w:rsidRPr="00A00B9E" w14:paraId="512442E3" w14:textId="77777777" w:rsidTr="00B57F49">
        <w:trPr>
          <w:cnfStyle w:val="000000100000" w:firstRow="0" w:lastRow="0" w:firstColumn="0" w:lastColumn="0" w:oddVBand="0" w:evenVBand="0" w:oddHBand="1" w:evenHBand="0"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299BF2E" w14:textId="77777777" w:rsidR="00CE4371" w:rsidRPr="00A00B9E" w:rsidRDefault="00CE4371" w:rsidP="00B57F49">
            <w:pPr>
              <w:pStyle w:val="BodyText"/>
              <w:ind w:left="0"/>
            </w:pPr>
            <w:r>
              <w:lastRenderedPageBreak/>
              <w:t>Fleet</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F483BA0" w14:textId="45EB5292" w:rsidR="00CE4371" w:rsidRPr="00A00B9E" w:rsidRDefault="00966217" w:rsidP="00966217">
            <w:pPr>
              <w:pStyle w:val="BodyText"/>
              <w:ind w:left="0"/>
            </w:pPr>
            <w:r w:rsidRPr="00966217">
              <w:rPr>
                <w:b/>
                <w:bCs/>
              </w:rPr>
              <w:t>Operator Compliance Risk Score (OCRS)</w:t>
            </w:r>
            <w:r>
              <w:rPr>
                <w:b/>
                <w:bCs/>
              </w:rPr>
              <w:t>:</w:t>
            </w:r>
            <w:r w:rsidRPr="00966217">
              <w:t xml:space="preserve"> system based on data collected by the Driver and Vehicle Standards Agency (DVSA) over a 3-year rolling period</w:t>
            </w:r>
            <w:r>
              <w:t xml:space="preserve"> including:</w:t>
            </w:r>
            <w:r w:rsidRPr="00966217">
              <w:tab/>
              <w:t>MOTs</w:t>
            </w:r>
            <w:r>
              <w:t>; r</w:t>
            </w:r>
            <w:r w:rsidRPr="00966217">
              <w:t>oadside inspections</w:t>
            </w:r>
            <w:r>
              <w:t xml:space="preserve">; </w:t>
            </w:r>
            <w:r w:rsidRPr="00966217">
              <w:t>desk-based (‘remote’) assessments</w:t>
            </w:r>
            <w:r>
              <w:t xml:space="preserve">; </w:t>
            </w:r>
            <w:r w:rsidRPr="00966217">
              <w:t>site visits from DVSA</w:t>
            </w:r>
            <w:r>
              <w:t>. Inverclyde is currently rated in Band Green (low risk).</w:t>
            </w:r>
          </w:p>
        </w:tc>
      </w:tr>
      <w:tr w:rsidR="00CE4371" w:rsidRPr="00A00B9E" w14:paraId="027C323A" w14:textId="77777777" w:rsidTr="00B57F49">
        <w:trPr>
          <w:cnfStyle w:val="000000010000" w:firstRow="0" w:lastRow="0" w:firstColumn="0" w:lastColumn="0" w:oddVBand="0" w:evenVBand="0" w:oddHBand="0" w:evenHBand="1" w:firstRowFirstColumn="0" w:firstRowLastColumn="0" w:lastRowFirstColumn="0" w:lastRowLastColumn="0"/>
        </w:trPr>
        <w:tc>
          <w:tcPr>
            <w:tcW w:w="246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7726EF87" w14:textId="77777777" w:rsidR="00CE4371" w:rsidRPr="00A00B9E" w:rsidRDefault="00CE4371" w:rsidP="00B57F49">
            <w:pPr>
              <w:pStyle w:val="BodyText"/>
              <w:ind w:left="0"/>
            </w:pPr>
            <w:r>
              <w:t>ICT</w:t>
            </w:r>
          </w:p>
        </w:tc>
        <w:tc>
          <w:tcPr>
            <w:tcW w:w="659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BEDEE" w:themeFill="accent4" w:themeFillTint="33"/>
          </w:tcPr>
          <w:p w14:paraId="4296B745" w14:textId="1D35C058" w:rsidR="0042269B" w:rsidRPr="0042269B" w:rsidRDefault="00FF43EE" w:rsidP="0042269B">
            <w:pPr>
              <w:pStyle w:val="BodyText"/>
              <w:ind w:left="0"/>
            </w:pPr>
            <w:r w:rsidRPr="00FF43EE">
              <w:rPr>
                <w:b/>
                <w:bCs/>
              </w:rPr>
              <w:t>Refresh</w:t>
            </w:r>
            <w:r>
              <w:rPr>
                <w:b/>
                <w:bCs/>
              </w:rPr>
              <w:t xml:space="preserve"> Programme</w:t>
            </w:r>
            <w:r w:rsidRPr="00FF43EE">
              <w:rPr>
                <w:b/>
                <w:bCs/>
              </w:rPr>
              <w:t>:</w:t>
            </w:r>
            <w:r>
              <w:t xml:space="preserve"> </w:t>
            </w:r>
            <w:r w:rsidR="0042269B" w:rsidRPr="0042269B">
              <w:t xml:space="preserve">ICT assets are of a good standard and work efficiently and effectively. All desktop assets and server assets are supported and maintained to a high standard. </w:t>
            </w:r>
          </w:p>
          <w:p w14:paraId="2BC011EB" w14:textId="5E621C05" w:rsidR="00CE4371" w:rsidRPr="00A00B9E" w:rsidRDefault="00FF43EE" w:rsidP="0042269B">
            <w:pPr>
              <w:pStyle w:val="BodyText"/>
              <w:ind w:left="0"/>
            </w:pPr>
            <w:r w:rsidRPr="00FF43EE">
              <w:rPr>
                <w:b/>
                <w:bCs/>
              </w:rPr>
              <w:t>Service Desk:</w:t>
            </w:r>
            <w:r>
              <w:t xml:space="preserve"> Service level attainment target reporting</w:t>
            </w:r>
            <w:r w:rsidR="0042269B" w:rsidRPr="0042269B">
              <w:t>.</w:t>
            </w:r>
            <w:r>
              <w:t xml:space="preserve"> Society For Innovation Technology and Modernisation (</w:t>
            </w:r>
            <w:r w:rsidRPr="00FF43EE">
              <w:t>SOCITM</w:t>
            </w:r>
            <w:r>
              <w:t>)</w:t>
            </w:r>
            <w:r w:rsidRPr="00FF43EE">
              <w:t xml:space="preserve"> </w:t>
            </w:r>
            <w:r>
              <w:t>b</w:t>
            </w:r>
            <w:r w:rsidRPr="00FF43EE">
              <w:t>enchmarking</w:t>
            </w:r>
            <w:r>
              <w:t>.</w:t>
            </w:r>
          </w:p>
        </w:tc>
      </w:tr>
    </w:tbl>
    <w:p w14:paraId="5CCCB2BF" w14:textId="77777777" w:rsidR="00CE4371" w:rsidRDefault="00CE4371" w:rsidP="0003544C">
      <w:pPr>
        <w:pStyle w:val="BodyText"/>
      </w:pPr>
    </w:p>
    <w:p w14:paraId="69B7AACF" w14:textId="0120D84E" w:rsidR="00013EE0" w:rsidRDefault="005504BF" w:rsidP="00013EE0">
      <w:pPr>
        <w:pStyle w:val="BodyText"/>
      </w:pPr>
      <w:r w:rsidRPr="005504BF">
        <w:rPr>
          <w:b/>
          <w:bCs/>
        </w:rPr>
        <w:t>Performance Management:</w:t>
      </w:r>
      <w:r>
        <w:t xml:space="preserve"> </w:t>
      </w:r>
      <w:r w:rsidR="008319E3">
        <w:t xml:space="preserve">Performance management and reporting is integral to the delivery of Best Value and forms the cornerstone of all proposed service activity.  </w:t>
      </w:r>
      <w:r w:rsidR="00F068E5" w:rsidRPr="00F068E5">
        <w:t>The Councils Performance Management Framework</w:t>
      </w:r>
      <w:r w:rsidR="00F068E5" w:rsidRPr="00CB58C5">
        <w:rPr>
          <w:rStyle w:val="FootnoteReference"/>
        </w:rPr>
        <w:footnoteReference w:id="12"/>
      </w:r>
      <w:r w:rsidR="00F068E5" w:rsidRPr="00F068E5">
        <w:t xml:space="preserve"> (PMF) core purpose is to drive continuous improvement and deliver improved outcomes.</w:t>
      </w:r>
      <w:r w:rsidR="00F068E5">
        <w:t xml:space="preserve"> </w:t>
      </w:r>
      <w:r w:rsidR="008319E3">
        <w:t>The Committee Delivery and Improvement Plans include a core set of performance indicators (PIs) that are focused on Directorate improvement actions. Statutory and Key Performance indicators already exist for the majority of service areas such as those submitted for the Council’s properties reflecting core condition and suitability and as part of the School Estate Core Facts collection.</w:t>
      </w:r>
      <w:r w:rsidR="00013EE0" w:rsidRPr="00013EE0">
        <w:t xml:space="preserve"> In addition, the council produces an annual report on the progress it is making on the delivery of its Co</w:t>
      </w:r>
      <w:r w:rsidR="00013EE0">
        <w:t>uncil</w:t>
      </w:r>
      <w:r w:rsidR="00013EE0" w:rsidRPr="00013EE0">
        <w:t xml:space="preserve"> Plan organisational priorities</w:t>
      </w:r>
      <w:r w:rsidR="00013EE0">
        <w:t xml:space="preserve">. </w:t>
      </w:r>
    </w:p>
    <w:p w14:paraId="3E711FA7" w14:textId="2EAB5BF8" w:rsidR="00AA49D3" w:rsidRPr="00285AF5" w:rsidRDefault="008319E3" w:rsidP="00F068E5">
      <w:pPr>
        <w:pStyle w:val="BodyText"/>
      </w:pPr>
      <w:r>
        <w:t>The Council also utilises the Local Government Benchmarking Framework (LGBF)</w:t>
      </w:r>
      <w:r w:rsidR="00D454C5" w:rsidRPr="00CB58C5">
        <w:rPr>
          <w:rStyle w:val="FootnoteReference"/>
        </w:rPr>
        <w:footnoteReference w:id="13"/>
      </w:r>
      <w:r w:rsidR="00D454C5">
        <w:t xml:space="preserve"> </w:t>
      </w:r>
      <w:r>
        <w:t>indicators which have been adopted by all 32 of Scotland’s local authorities to assist in focusing on efficiency, effectiveness and outcomes allowing authorities to benchmark performance across a range of indicators.</w:t>
      </w:r>
      <w:r w:rsidR="00013EE0" w:rsidRPr="00013EE0">
        <w:t xml:space="preserve"> </w:t>
      </w:r>
      <w:r w:rsidR="00013EE0">
        <w:t>A dashboard refresh was carried out in February 2024, and benchmarking data for Inverclyde Council is now available for a total of 82 of the 102 measures within the framework.</w:t>
      </w:r>
      <w:r w:rsidR="00F068E5">
        <w:t xml:space="preserve"> </w:t>
      </w:r>
    </w:p>
    <w:p w14:paraId="02046F7F" w14:textId="77777777" w:rsidR="0003544C" w:rsidRPr="000E556C" w:rsidRDefault="0003544C" w:rsidP="0003544C">
      <w:pPr>
        <w:spacing w:after="160" w:line="259" w:lineRule="auto"/>
        <w:ind w:left="720"/>
        <w:contextualSpacing/>
        <w:rPr>
          <w:szCs w:val="28"/>
        </w:rPr>
      </w:pPr>
    </w:p>
    <w:p w14:paraId="32C7749F" w14:textId="77777777" w:rsidR="0003544C" w:rsidRDefault="0003544C" w:rsidP="00DB64A4">
      <w:pPr>
        <w:pStyle w:val="BodyText"/>
      </w:pPr>
    </w:p>
    <w:p w14:paraId="0452B842" w14:textId="77777777" w:rsidR="00A80B3F" w:rsidRDefault="00A80B3F">
      <w:pPr>
        <w:spacing w:after="200" w:line="276" w:lineRule="auto"/>
      </w:pPr>
      <w:r>
        <w:br w:type="page"/>
      </w:r>
    </w:p>
    <w:p w14:paraId="66F50601" w14:textId="7539C864" w:rsidR="00BD062F" w:rsidRDefault="00A80B3F" w:rsidP="00B77420">
      <w:pPr>
        <w:pStyle w:val="Heading1"/>
      </w:pPr>
      <w:bookmarkStart w:id="22" w:name="_Toc152660749"/>
      <w:bookmarkStart w:id="23" w:name="_Toc157688342"/>
      <w:r>
        <w:lastRenderedPageBreak/>
        <w:t>A</w:t>
      </w:r>
      <w:r w:rsidR="00DA3845">
        <w:t xml:space="preserve">pproach to </w:t>
      </w:r>
      <w:r w:rsidR="00CF744E">
        <w:t>Asset Management</w:t>
      </w:r>
      <w:bookmarkEnd w:id="22"/>
      <w:bookmarkEnd w:id="23"/>
    </w:p>
    <w:p w14:paraId="1DF7204F" w14:textId="264CEDEB" w:rsidR="00D445A3" w:rsidRDefault="00D445A3" w:rsidP="00D445A3">
      <w:pPr>
        <w:ind w:left="794"/>
      </w:pPr>
      <w:r w:rsidRPr="00D445A3">
        <w:t xml:space="preserve">The overarching Corporate Asset Management Strategy </w:t>
      </w:r>
      <w:r>
        <w:t>incorporates</w:t>
      </w:r>
      <w:r w:rsidRPr="00D445A3">
        <w:t xml:space="preserve"> a </w:t>
      </w:r>
      <w:r>
        <w:t xml:space="preserve">variety </w:t>
      </w:r>
      <w:r w:rsidRPr="00D445A3">
        <w:t xml:space="preserve">of asset </w:t>
      </w:r>
      <w:r>
        <w:t>categories,</w:t>
      </w:r>
      <w:r w:rsidRPr="00D445A3">
        <w:t xml:space="preserve"> each of which are supported by individual asset management plans</w:t>
      </w:r>
      <w:r>
        <w:t>.</w:t>
      </w:r>
      <w:r w:rsidRPr="00D445A3">
        <w:t xml:space="preserve"> </w:t>
      </w:r>
      <w:r>
        <w:t xml:space="preserve">All Asset Management Plans are linked to the Committee Delivery </w:t>
      </w:r>
      <w:r w:rsidR="007B2F0A">
        <w:t xml:space="preserve">and </w:t>
      </w:r>
      <w:r>
        <w:t>Improvement Plans (CDIPs) with delivery regularly reported throughout the year as part of cyclical Capital Programme updates.</w:t>
      </w:r>
    </w:p>
    <w:p w14:paraId="50D64719" w14:textId="7DCEA91C" w:rsidR="00D445A3" w:rsidRPr="00D445A3" w:rsidRDefault="00D445A3" w:rsidP="00D445A3">
      <w:pPr>
        <w:ind w:left="794"/>
      </w:pPr>
      <w:r>
        <w:t xml:space="preserve">Asset Management Plans take into account the number, type and condition of the assets to which the plan relates and thereafter looks ahead to future investment needs with associated financial implications to be factored into future years Capital Programmes. Delivery of an Asset Management Plan may require decisions from </w:t>
      </w:r>
      <w:r w:rsidR="007B2F0A">
        <w:t xml:space="preserve">elected </w:t>
      </w:r>
      <w:r>
        <w:t>Members regarding a whole estate investment approach which will potentially identify assets which the Council should no longer retain. This will lead to investment in fewer assets but to a higher quality. This has certainly been the case in respect of schools, offices</w:t>
      </w:r>
      <w:r w:rsidR="007B2F0A">
        <w:t>,</w:t>
      </w:r>
      <w:r>
        <w:t xml:space="preserve"> and depots where the Council’s property footprint has reduced considerably over the last 15 years,</w:t>
      </w:r>
      <w:r w:rsidRPr="00D445A3">
        <w:t xml:space="preserve"> </w:t>
      </w:r>
      <w:r>
        <w:t>with the sums saved from assets no longer in existence reinvested in the remaining assets resulting in a</w:t>
      </w:r>
      <w:r w:rsidR="007B2F0A">
        <w:t xml:space="preserve"> significantly</w:t>
      </w:r>
      <w:r>
        <w:t xml:space="preserve"> improved estate.</w:t>
      </w:r>
    </w:p>
    <w:p w14:paraId="44F25865" w14:textId="3F230080" w:rsidR="00D638FE" w:rsidRPr="00D638FE" w:rsidRDefault="009F17CA" w:rsidP="004C3EDC">
      <w:pPr>
        <w:pStyle w:val="Heading2"/>
      </w:pPr>
      <w:bookmarkStart w:id="24" w:name="_Toc152660750"/>
      <w:bookmarkStart w:id="25" w:name="_Toc157688343"/>
      <w:bookmarkStart w:id="26" w:name="_Hlk161520940"/>
      <w:bookmarkStart w:id="27" w:name="_Hlk161582252"/>
      <w:bookmarkStart w:id="28" w:name="_Hlk161845994"/>
      <w:r>
        <w:t>Property</w:t>
      </w:r>
      <w:bookmarkEnd w:id="24"/>
      <w:bookmarkEnd w:id="25"/>
      <w:r w:rsidR="00B34817">
        <w:t xml:space="preserve"> </w:t>
      </w:r>
    </w:p>
    <w:p w14:paraId="1CA67833" w14:textId="72089B19" w:rsidR="00A67A2B" w:rsidRDefault="00A67A2B" w:rsidP="00A67A2B">
      <w:pPr>
        <w:pStyle w:val="BodyText"/>
      </w:pPr>
      <w:r w:rsidRPr="00A67A2B">
        <w:t>Inverclyde Council owns a diverse property portfolio which supports a wide range of services containing approximately 49</w:t>
      </w:r>
      <w:r w:rsidR="00C066EA">
        <w:t>0</w:t>
      </w:r>
      <w:r w:rsidRPr="00A67A2B">
        <w:t xml:space="preserve"> assets covering both land and buildings. The portfolio is divided </w:t>
      </w:r>
      <w:bookmarkStart w:id="29" w:name="_Hlk162211204"/>
      <w:r w:rsidRPr="00A67A2B">
        <w:t>into</w:t>
      </w:r>
      <w:r>
        <w:t>:</w:t>
      </w:r>
    </w:p>
    <w:p w14:paraId="757E2FD2" w14:textId="7C32EB04" w:rsidR="00A67A2B" w:rsidRDefault="00A67A2B" w:rsidP="00A67A2B">
      <w:pPr>
        <w:pStyle w:val="ListBullet"/>
      </w:pPr>
      <w:r w:rsidRPr="00A67A2B">
        <w:rPr>
          <w:b/>
          <w:bCs/>
        </w:rPr>
        <w:t>Operational property</w:t>
      </w:r>
      <w:r>
        <w:t xml:space="preserve"> – properties which are used directly to support delivery of service</w:t>
      </w:r>
      <w:bookmarkEnd w:id="29"/>
      <w:r>
        <w:t>s;</w:t>
      </w:r>
    </w:p>
    <w:p w14:paraId="395DF387" w14:textId="65D9D025" w:rsidR="00A67A2B" w:rsidRDefault="00A67A2B" w:rsidP="00A67A2B">
      <w:pPr>
        <w:pStyle w:val="ListBullet"/>
      </w:pPr>
      <w:r w:rsidRPr="00A67A2B">
        <w:rPr>
          <w:b/>
          <w:bCs/>
        </w:rPr>
        <w:t>Non-Operational property</w:t>
      </w:r>
      <w:r>
        <w:t xml:space="preserve"> – properties which are retained to support economic development and to aid in generating revenue income.</w:t>
      </w:r>
    </w:p>
    <w:p w14:paraId="4D98861F" w14:textId="7978D3E3" w:rsidR="00B5155C" w:rsidRDefault="00A67A2B" w:rsidP="0037670A">
      <w:pPr>
        <w:pStyle w:val="BodyText"/>
      </w:pPr>
      <w:r w:rsidRPr="00A67A2B">
        <w:t>The total fair value of the Council’s freehold/heritable interests as at 31st March 202</w:t>
      </w:r>
      <w:r w:rsidR="00D97365">
        <w:t>3</w:t>
      </w:r>
      <w:r w:rsidRPr="00A67A2B">
        <w:t xml:space="preserve"> is £4</w:t>
      </w:r>
      <w:r w:rsidR="00D97365">
        <w:t>85.5m</w:t>
      </w:r>
      <w:r w:rsidRPr="00A67A2B">
        <w:t>.</w:t>
      </w:r>
      <w:r w:rsidR="00D97365">
        <w:t xml:space="preserve"> Once Public Private Partnership (PPP) Assets and managed Properties are included, the value increases to £580.5m.</w:t>
      </w:r>
      <w:r w:rsidRPr="00A67A2B">
        <w:t xml:space="preserve"> This figure assumes (in many cases) that the Council will continue to use the individual property for its own purposes; it does not necessarily represent the overall market value of the Council’s asset base</w:t>
      </w:r>
      <w:r>
        <w:t xml:space="preserve">. </w:t>
      </w:r>
      <w:r w:rsidRPr="00A67A2B">
        <w:t>As at 31st March 202</w:t>
      </w:r>
      <w:r>
        <w:t>4</w:t>
      </w:r>
      <w:r w:rsidRPr="00A67A2B">
        <w:t xml:space="preserve"> the Council owned 18</w:t>
      </w:r>
      <w:r w:rsidR="00C066EA">
        <w:t>3</w:t>
      </w:r>
      <w:r w:rsidRPr="00A67A2B">
        <w:t xml:space="preserve"> operational property assets which are represented in the table </w:t>
      </w:r>
      <w:r>
        <w:t>attached as Appendix 1</w:t>
      </w:r>
      <w:r w:rsidR="00C066EA">
        <w:t>.1</w:t>
      </w:r>
      <w:r>
        <w:t>.</w:t>
      </w:r>
      <w:bookmarkEnd w:id="26"/>
      <w:bookmarkEnd w:id="27"/>
    </w:p>
    <w:bookmarkEnd w:id="28"/>
    <w:p w14:paraId="6649570E" w14:textId="631C9C98" w:rsidR="009F17CA" w:rsidRPr="00AB0AC2" w:rsidRDefault="009F17CA" w:rsidP="009F17CA">
      <w:pPr>
        <w:pStyle w:val="Heading3"/>
      </w:pPr>
      <w:r>
        <w:t>Learning Estate</w:t>
      </w:r>
      <w:r w:rsidRPr="00AB0AC2">
        <w:t xml:space="preserve"> </w:t>
      </w:r>
    </w:p>
    <w:p w14:paraId="74C54FC8" w14:textId="403F5F37" w:rsidR="009F17CA" w:rsidRDefault="0053507F" w:rsidP="0053507F">
      <w:pPr>
        <w:pStyle w:val="BodyText"/>
      </w:pPr>
      <w:r>
        <w:t xml:space="preserve">The Council has invested in excess of £270m on its school estate over the life of the School Estate Management Plan. The rationalisation of the estate was completed by the end of 2013. Over the period of the programme there has been a net reduction of 12 primary schools (from 32 to 20) and a net reduction of 2 secondary schools (from 8 to 6) with 2 of the remaining 6 secondary schools co-located within a shared community campus. </w:t>
      </w:r>
    </w:p>
    <w:p w14:paraId="168D2B22" w14:textId="6F95A321" w:rsidR="00D3119C" w:rsidRDefault="0053507F" w:rsidP="0053507F">
      <w:pPr>
        <w:pStyle w:val="BodyText"/>
      </w:pPr>
      <w:r>
        <w:t>Significant progress has been made since 2004 in addressing the number of Condition category C (Poor) and D (Bad) rated schools from 7 Secondary Schools and 21 Primary Schools at the start of the programme to all schools across all sectors rated A (Good) or B (Satisfactory) by 2016. In terms of Suitability there has also been significant progress made in ratings through the programme of comprehensive refurbishment and new build.</w:t>
      </w:r>
    </w:p>
    <w:p w14:paraId="2DC98393" w14:textId="7DD957B2" w:rsidR="00D3119C" w:rsidRDefault="0053507F" w:rsidP="0053507F">
      <w:pPr>
        <w:pStyle w:val="BodyText"/>
      </w:pPr>
      <w:r>
        <w:t>The plan prior to the COVID-19 lockdown would have seen all major projects completed in 2020 reflecting the approval of the acceleration of the School Estate Management Plan agreed as part of the budget setting process in March 2016. The St Mary’s Primary School project was completed in October 2020 with completion of the final project at Gourock Primary School in December 2022 delayed due to the impact of a combination of the insolvency of the main contractor and COVID-19. The demolition of the last remaining decant facility, the former Sacred Heart Primary School, was completed in June 2022.</w:t>
      </w:r>
    </w:p>
    <w:p w14:paraId="58925966" w14:textId="6292359C" w:rsidR="00D3119C" w:rsidRDefault="00121E91" w:rsidP="0053507F">
      <w:pPr>
        <w:pStyle w:val="BodyText"/>
      </w:pPr>
      <w:r>
        <w:lastRenderedPageBreak/>
        <w:t>A</w:t>
      </w:r>
      <w:r w:rsidR="0053507F">
        <w:t>dditional expenditure was approved in March 2016 to address works required to improve asset condition and suitability across the stand-alone facilities within the Early Years estate. The Council funded elements of the Early Years estate plan were completed with the final project to refurbish Hillend Children’s Centre operational as of October 2021</w:t>
      </w:r>
      <w:r>
        <w:t>.</w:t>
      </w:r>
      <w:r w:rsidR="00D3119C">
        <w:t xml:space="preserve"> </w:t>
      </w:r>
    </w:p>
    <w:p w14:paraId="232C6E88" w14:textId="56A1177C" w:rsidR="00D3119C" w:rsidRDefault="0053507F" w:rsidP="0053507F">
      <w:pPr>
        <w:pStyle w:val="BodyText"/>
      </w:pPr>
      <w:r>
        <w:t xml:space="preserve">The increase in entitlement to early learning and childcare from 600 </w:t>
      </w:r>
      <w:r w:rsidR="0003544C">
        <w:t xml:space="preserve">hours </w:t>
      </w:r>
      <w:r>
        <w:t xml:space="preserve">to 1140 hours required substantial levels of investment in workforce and infrastructure to support the expansion. All core 1140 hours expansion projects were completed </w:t>
      </w:r>
      <w:r w:rsidR="00121E91">
        <w:t xml:space="preserve">and </w:t>
      </w:r>
      <w:r>
        <w:t>operational as of November 2021</w:t>
      </w:r>
      <w:r w:rsidR="00D3119C">
        <w:t xml:space="preserve">. </w:t>
      </w:r>
    </w:p>
    <w:p w14:paraId="07BE704E" w14:textId="51D22AB5" w:rsidR="0053507F" w:rsidRDefault="0053507F" w:rsidP="0053507F">
      <w:pPr>
        <w:pStyle w:val="BodyText"/>
      </w:pPr>
      <w:r>
        <w:t>The Scottish Government has previously confirmed capital funding allocations to support the phased expansion of free school meals to primary school children to be used to support initial investment in school infrastructure, including school catering and dining. The Education &amp; Communities Committee approved the early adoption of Universal Free School Meals in Primary Schools across Inverclyde from August 2023. A programme of works across fourteen primary schools was delivered during June 2023 and over the summer holiday period to support the implementation.</w:t>
      </w:r>
    </w:p>
    <w:p w14:paraId="35814613" w14:textId="7D0EC670" w:rsidR="0053507F" w:rsidRDefault="000D0D27" w:rsidP="000D0D27">
      <w:pPr>
        <w:pStyle w:val="BodyText"/>
      </w:pPr>
      <w:r>
        <w:t>The Education Capital programme includes a lifecycle fund designed to address maintaining the condition and suitability of the revitalised estate. The fund allocation</w:t>
      </w:r>
      <w:r w:rsidR="00121E91">
        <w:t xml:space="preserve"> is currently </w:t>
      </w:r>
      <w:r>
        <w:t>£3m per annum. The lifecycle works address the on-going requirement for investment in the estate to maintain the overall condition of the assets at a good/satisfactory level. The allocation of this funding is based on annual review of the externally procured condition surveys and physical inspection of the various properties by the Council’s Property Service. The most recent external condition surveys were undertaken via Aecom during 4th Quarter 2019 and are due for renewal in 2024. These surveys and Property Services assessment inform the allocation of future lifecycle funding across the estate and this is becoming increasingly important, particularly for the properties that were included early in the original programme.</w:t>
      </w:r>
    </w:p>
    <w:p w14:paraId="6EF0520E" w14:textId="1B34F5E7" w:rsidR="00A23520" w:rsidRDefault="00A23520" w:rsidP="000D0D27">
      <w:pPr>
        <w:pStyle w:val="BodyText"/>
      </w:pPr>
      <w:r>
        <w:t xml:space="preserve">The Council also has a Public Private Partnership contract covering </w:t>
      </w:r>
      <w:r w:rsidR="007F60B6">
        <w:t xml:space="preserve">four </w:t>
      </w:r>
      <w:r>
        <w:t>schools (2 secondary and 2 primary) which is operated through a Special Purpose Vehicle (SPV) and Facilities Management Provider.</w:t>
      </w:r>
      <w:r w:rsidR="007F60B6">
        <w:t xml:space="preserve"> The regular maintenance and lifecycle requirement of those assets are addressed through the contract which extends to 2040 when the assets will be handed back to the Council.</w:t>
      </w:r>
    </w:p>
    <w:p w14:paraId="4C2B8A5F" w14:textId="7D0A2AA1" w:rsidR="000D0D27" w:rsidRDefault="000D0D27" w:rsidP="000D0D27">
      <w:pPr>
        <w:pStyle w:val="BodyText"/>
      </w:pPr>
      <w:r>
        <w:t>A wider Learning Estate Review and strategy is now required to address the next 10+ years and future of the Learning Estate. Work has commenced on this in respect of roll projection analysis and assessment of the possible impacts of the new Local Development Plan and potential new housing provision. The strategy will require to consider the Condition of the estate from external surveys and Property Services reviews. A full review of all suitability surveys was completed in conjunction with Education Services and Heads of each establishment and this information was reflected in the 2021 Core Facts return. The strategy will also consider the 2021/28 Education Services Digital Learning Strategy. Energy efficiency and the implications of the Inverclyde Net Zero Strategy and associated 2022/27 Action Plan including the continued focus on adoption of a Net Zero Public Sector Buildings Standard and imminent legislation such as the Heat in Buildings Bill, will all have to be considered as far as practicable in future asset strategies.</w:t>
      </w:r>
    </w:p>
    <w:p w14:paraId="46CF2310" w14:textId="682DB328" w:rsidR="00D3119C" w:rsidRDefault="009F5860" w:rsidP="009F5860">
      <w:pPr>
        <w:pStyle w:val="BodyText"/>
      </w:pPr>
      <w:r>
        <w:t>The Council has undertaken a comprehensive assessment of its estate to identify the presence of Reinforced Aerated Autoclaved Concrete (RAAC). It has been confirmed that one school (St Michael’s Primary School in Port Glasgow) has RAAC present and in line with industry guidance, a management strategy has been implemented. Options for permanent remediation are currently being investigated and will represent a funding pressure in the context of the available limited capital funding resources available for estate lifecycle investment.</w:t>
      </w:r>
    </w:p>
    <w:p w14:paraId="01C7C3DB" w14:textId="77777777" w:rsidR="00F37012" w:rsidRDefault="00F37012" w:rsidP="009F5860">
      <w:pPr>
        <w:pStyle w:val="BodyText"/>
      </w:pPr>
    </w:p>
    <w:p w14:paraId="69B338DE" w14:textId="3329426C" w:rsidR="009F17CA" w:rsidRPr="00AB0AC2" w:rsidRDefault="009F17CA" w:rsidP="009F17CA">
      <w:pPr>
        <w:pStyle w:val="Heading3"/>
      </w:pPr>
      <w:r>
        <w:lastRenderedPageBreak/>
        <w:t>Offices</w:t>
      </w:r>
      <w:r w:rsidRPr="00AB0AC2">
        <w:t xml:space="preserve"> </w:t>
      </w:r>
    </w:p>
    <w:p w14:paraId="23B60C3B" w14:textId="4D687597" w:rsidR="00D3119C" w:rsidRDefault="009F5860" w:rsidP="009F5860">
      <w:pPr>
        <w:pStyle w:val="BodyText"/>
      </w:pPr>
      <w:r>
        <w:t xml:space="preserve">The Council’s Office rationalisation proposals </w:t>
      </w:r>
      <w:r w:rsidR="00A23520">
        <w:t xml:space="preserve">included </w:t>
      </w:r>
      <w:r>
        <w:t>the development of a Customer Service Centre within Greenock Municipal Buildings designed to transform the way the Council communicates with its customers. The programme was part of a wider programme to modernise the Council’s operations and working practices which included initiatives such as mobile and flexible working, electronic document management (EDRMS) and greater use of technology. The Offices Asset Management Plan (AMP) was taken forward on the premise that fewer desks than employees would be provided with the final projects within the Offices AMP completed in Autumn/Winter 2017. The Office Rationalisation programme resulted in a reduction of circa 40% of occupied floor space and circa 28% in terms of desk numbers with an increased potential desk space ratio through more efficient use of space across the same number of retained properties</w:t>
      </w:r>
      <w:r w:rsidR="00D3119C">
        <w:t xml:space="preserve">. </w:t>
      </w:r>
    </w:p>
    <w:p w14:paraId="0B17DEB6" w14:textId="3ADFA116" w:rsidR="00D3119C" w:rsidRDefault="009F5860" w:rsidP="009F5860">
      <w:pPr>
        <w:pStyle w:val="BodyText"/>
      </w:pPr>
      <w:r>
        <w:t xml:space="preserve">With the completion of the Office rationalisation programme, the majority of the Council’s Operational Office space is now contained within the Greenock Municipal Buildings Campus. This is comprised of the main Municipal Buildings (including the refurbished/renovated former District Court offices), the Wallace Place Building, the James Watt Building and Hector McNeil House. Property Services had undertaken studies across the Campus at the end of 2019, both internally and through external specialist space planning consultants, with a view to identifying where possibilities exist for more efficient use of space and to address improvements where existing space is less suitable for current use and/or in poorer condition. The challenges posed by COVID-19 necessitated a shift to different agile working delivery models including increased flexible, mobile and homeworking arrangements. As part of the COVID-19 Organisational Recovery Plan the Council reviewed its agile working and other key policies resulting in the development of a Hybrid Working Strategy which has now been embedded within a new Flexible Working Policy following the completion of a 12 month pilot. As part of the Council’s Delivering Differently Programme, a New Ways of Working project has also been established to examine the changes to the ways offices are being used within and out with the Campus including changes in the use of technology and the potential for increased use of Electronic Document Management processes. The previously completed space studies are being revisited as part of this work stream to assess the potential property / ICT investment implications connected with new ways of working. This workstream has involved the mothballing of the James Watt building from early 2023/24 facilitated through minor works undertaken across various assets to enable the relocation of staff. The potential reduction in employees from savings exercises plus the announcement of the successful Levelling-up Funding bid which will </w:t>
      </w:r>
      <w:r w:rsidR="000C0286">
        <w:t>result in the demolition of</w:t>
      </w:r>
      <w:r>
        <w:t xml:space="preserve"> the Hector McNeil House building are also key considerations in the New Ways of Working Project.</w:t>
      </w:r>
    </w:p>
    <w:p w14:paraId="6929060C" w14:textId="7228580B" w:rsidR="009F17CA" w:rsidRDefault="00D3119C" w:rsidP="00D3119C">
      <w:pPr>
        <w:pStyle w:val="BodyText"/>
      </w:pPr>
      <w:r>
        <w:t xml:space="preserve">The future maintenance and lifecycle requirements of this element of the Council’s estate strategy </w:t>
      </w:r>
      <w:r w:rsidR="009F5860">
        <w:t>are</w:t>
      </w:r>
      <w:r>
        <w:t xml:space="preserve"> contained / addressed within the Operational Properties portfolio and the allowances for statutory and planned maintenance / lifecycle works funded from the annual £2</w:t>
      </w:r>
      <w:r w:rsidR="009F5860">
        <w:t>.4</w:t>
      </w:r>
      <w:r>
        <w:t>m General Property Service capital allocation monitored through the Environment &amp; Regeneration Committee.</w:t>
      </w:r>
    </w:p>
    <w:p w14:paraId="38AEFECA" w14:textId="77777777" w:rsidR="00FD039F" w:rsidRDefault="00FD039F" w:rsidP="00D3119C">
      <w:pPr>
        <w:pStyle w:val="BodyText"/>
      </w:pPr>
    </w:p>
    <w:p w14:paraId="36718FFB" w14:textId="77777777" w:rsidR="00F37012" w:rsidRDefault="00F37012" w:rsidP="00D3119C">
      <w:pPr>
        <w:pStyle w:val="BodyText"/>
      </w:pPr>
    </w:p>
    <w:p w14:paraId="1F8B01BA" w14:textId="77777777" w:rsidR="00F37012" w:rsidRDefault="00F37012" w:rsidP="00D3119C">
      <w:pPr>
        <w:pStyle w:val="BodyText"/>
      </w:pPr>
    </w:p>
    <w:p w14:paraId="2308298F" w14:textId="77777777" w:rsidR="00F37012" w:rsidRDefault="00F37012" w:rsidP="00D3119C">
      <w:pPr>
        <w:pStyle w:val="BodyText"/>
      </w:pPr>
    </w:p>
    <w:p w14:paraId="3845D1DF" w14:textId="77777777" w:rsidR="00F37012" w:rsidRDefault="00F37012" w:rsidP="00D3119C">
      <w:pPr>
        <w:pStyle w:val="BodyText"/>
      </w:pPr>
    </w:p>
    <w:p w14:paraId="0077C644" w14:textId="77777777" w:rsidR="0003544C" w:rsidRDefault="0003544C" w:rsidP="00D3119C">
      <w:pPr>
        <w:pStyle w:val="BodyText"/>
      </w:pPr>
    </w:p>
    <w:p w14:paraId="320652A3" w14:textId="321C22E7" w:rsidR="009F17CA" w:rsidRPr="00AB0AC2" w:rsidRDefault="009F17CA" w:rsidP="009F17CA">
      <w:pPr>
        <w:pStyle w:val="Heading3"/>
      </w:pPr>
      <w:r>
        <w:lastRenderedPageBreak/>
        <w:t>Depots</w:t>
      </w:r>
      <w:r w:rsidRPr="00AB0AC2">
        <w:t xml:space="preserve"> </w:t>
      </w:r>
    </w:p>
    <w:p w14:paraId="5A122AE1" w14:textId="7D3BDE3D" w:rsidR="000B6497" w:rsidRDefault="000B6497" w:rsidP="000B6497">
      <w:pPr>
        <w:pStyle w:val="BodyText"/>
      </w:pPr>
      <w:r>
        <w:t>The Council’s Depot rationalisation has involved the centralisation of Grounds, Waste and Transport at Pottery Street in Greenock with a Gourock Civic Amenity site and the Building Service Unit (BSU) workshop at Devol in Port Glasgow. The original Depot Asset Management Plan budget of £13m was reduced by £2.8m through a review of phasing and scope with the development of the masterplan and a refinement of the strategy / proposals. The majority of projects were completed by mid-2019 incorporating the phased works at Pottery Street including the salt barn, civic amenity site, vehicle maintenance facility / offices, fuel and vehicle wash facilities, and the refurbishment of the corner depot building / offices. The f</w:t>
      </w:r>
      <w:r w:rsidRPr="000B6497">
        <w:t xml:space="preserve">leet </w:t>
      </w:r>
      <w:r>
        <w:t>m</w:t>
      </w:r>
      <w:r w:rsidRPr="000B6497">
        <w:t xml:space="preserve">aintenance </w:t>
      </w:r>
      <w:r>
        <w:t>f</w:t>
      </w:r>
      <w:r w:rsidRPr="000B6497">
        <w:t>acility opened in 2017 incorporat</w:t>
      </w:r>
      <w:r>
        <w:t>es</w:t>
      </w:r>
      <w:r w:rsidRPr="000B6497">
        <w:t xml:space="preserve"> a Class IV, V and VII MOT test facility allowing more maintenance and testing to be carried out in-house. The </w:t>
      </w:r>
      <w:r>
        <w:t>site</w:t>
      </w:r>
      <w:r w:rsidRPr="000B6497">
        <w:t xml:space="preserve"> also incorporates a fully automated under chassis vehicle wash which became operational in 2019 ensuring the fleet assets are maintained to a high standard whilst complying with the latest Health and Safety requirements. A new bunkered fuel facility with integrated fuel management system has also been incorporated into the Fleet Maintenance Facility providing real time fuel usage information and increasing the Councils contingency in times of fuel shortages</w:t>
      </w:r>
      <w:r>
        <w:t xml:space="preserve"> with generator back-up project completed in 2022 to support civil contingency planning and service resilience.</w:t>
      </w:r>
    </w:p>
    <w:p w14:paraId="51CF84FF" w14:textId="091F5BF7" w:rsidR="009F17CA" w:rsidRDefault="000B6497" w:rsidP="000B6497">
      <w:pPr>
        <w:pStyle w:val="BodyText"/>
      </w:pPr>
      <w:r>
        <w:t>The final element of the Depot AMP involving the Gourock Civic Amenity facility has been partially completed with the existing Kirn Drive Civic Amenity facility closed at the end of January 2022 and temporarily relocated to Craigmuschat Quarry. The demolition of the existing Kirn Drive Depot building and removal of fuel tanks was completed in June 2022. The future provision in Gourock has been considered as part of recent budget setting processes and has not taken forward as a saving, with a requirement to now review the temporary provision at Craigmuschat.</w:t>
      </w:r>
    </w:p>
    <w:p w14:paraId="11E1B3FE" w14:textId="31E99738" w:rsidR="009F17CA" w:rsidRPr="00AB0AC2" w:rsidRDefault="009F17CA" w:rsidP="009F17CA">
      <w:pPr>
        <w:pStyle w:val="Heading3"/>
      </w:pPr>
      <w:r>
        <w:t>Leisure Estate</w:t>
      </w:r>
      <w:r w:rsidRPr="00AB0AC2">
        <w:t xml:space="preserve"> </w:t>
      </w:r>
    </w:p>
    <w:p w14:paraId="6BA4A6A8" w14:textId="3AC39454" w:rsidR="00765D77" w:rsidRDefault="004949D5" w:rsidP="0003544C">
      <w:pPr>
        <w:pStyle w:val="BodyText"/>
      </w:pPr>
      <w:r w:rsidRPr="004949D5">
        <w:t xml:space="preserve">The </w:t>
      </w:r>
      <w:r w:rsidR="00765D77">
        <w:t>Council undertook a review of its key Leisure Sites prior to 2009 which included reports covering a review of strategic sites and a pitches strategy, with a view to modernisation and reconfiguration of leisure provision within Inverclyde. Consultation was also undertaken with sportscotland who allocated £1m in facilities grants, part funding specific projects at Parklea and Ravenscraig. A planned investment profile was presented to Committee in September 2009 with an initial implementation timescale of August 2012.</w:t>
      </w:r>
      <w:r w:rsidR="0003544C">
        <w:t xml:space="preserve"> </w:t>
      </w:r>
      <w:r w:rsidR="00765D77">
        <w:t>Following the implementation of the original Leisure Strategy above, a number of further projects were taken forward (Ravenscraig Activity Centre / Inverclyde Indoor Bowling / Lady Octavia Sports Centre / Boglestone Community Centre) through joint Council / Inverclyde Leisure funded projects.</w:t>
      </w:r>
    </w:p>
    <w:p w14:paraId="7431AC44" w14:textId="0B646189" w:rsidR="00765D77" w:rsidRDefault="00765D77" w:rsidP="00765D77">
      <w:pPr>
        <w:pStyle w:val="BodyText"/>
      </w:pPr>
      <w:r>
        <w:t>In 2018 the Council agreed to allocate £0.12m annually to supplement the funding in the Leisure Repairs and Renewals Fund to meet the life cycle costs associated with the large 3G Pitch estate. The on-going requirements for major maintenance and lifecycle replacement of sports pitches across the Leisure Estate are addressed through the Leisure Pitches Strategy Asset Management Plan</w:t>
      </w:r>
      <w:r w:rsidR="00FD039F" w:rsidRPr="00CB58C5">
        <w:rPr>
          <w:rStyle w:val="FootnoteReference"/>
        </w:rPr>
        <w:footnoteReference w:id="14"/>
      </w:r>
      <w:r>
        <w:t xml:space="preserve"> and capital allocations monitored through the Education &amp; Communities Committee. Condition surveys were undertaken via external specialists in late 2019 across the Leisure and School Estate pitches to inform a review of the Asset Management Plans and lifecycle replacement allowances. This information together with data on individual pitches hours of use from Inverclyde Leisure formed the basis of a revised asset plan which was approved by the September 2020 Education &amp; Communities Committee. A programme of rejuvenation and carpet replacement works commenced in 4th Quarter 2020 with 5 full size leisure pitch and 5 school estate pitch/MUGA carpet replacements completed to date including minor rejuvenation works at Inverkip Community Hub and carpet replacement of 5-a-side carpets at Lady Octavia Sports Centre.</w:t>
      </w:r>
    </w:p>
    <w:p w14:paraId="356E33F6" w14:textId="4354C947" w:rsidR="004949D5" w:rsidRDefault="004949D5" w:rsidP="00765D77">
      <w:pPr>
        <w:pStyle w:val="BodyText"/>
      </w:pPr>
      <w:r>
        <w:lastRenderedPageBreak/>
        <w:t xml:space="preserve">The </w:t>
      </w:r>
      <w:r w:rsidR="00765D77">
        <w:t>major maintenance and lifecycle replacement requirements of the buildings for the Leisure Estate remains with the Council and this element of the Council’s estate strategy is addressed within the Operational Properties portfolio and the allowances for statutory and planned maintenance / lifecycle works funded from the annual £2.4m General Property Service capital allocation monitored through the Environment &amp; Regeneration Committee. Minor day to day maintenance and ‘consumables’ are the responsibility of Inverclyde Leisure in accordance with the Service Level Agreement which regulates access, standards of maintenance and division of responsibilities. The allocations through this fund will be vital in the coming years to address significant elemental renewal of ageing assets.</w:t>
      </w:r>
      <w:r>
        <w:t xml:space="preserve"> </w:t>
      </w:r>
    </w:p>
    <w:p w14:paraId="6598C0B9" w14:textId="1A2E132E" w:rsidR="004949D5" w:rsidRDefault="00765D77" w:rsidP="00765D77">
      <w:pPr>
        <w:pStyle w:val="BodyText"/>
      </w:pPr>
      <w:r>
        <w:t>As part of the Council’s Delivering Differently Programme, the Council and Inverclyde Leisure completed a strategic review</w:t>
      </w:r>
      <w:r w:rsidR="00A34F54" w:rsidRPr="00CB58C5">
        <w:rPr>
          <w:rStyle w:val="FootnoteReference"/>
        </w:rPr>
        <w:footnoteReference w:id="15"/>
      </w:r>
      <w:r w:rsidR="00A34F54">
        <w:t xml:space="preserve"> </w:t>
      </w:r>
      <w:r>
        <w:t>of all indoor, outdoor and community leisure facilities in Inverclyde. This activity was aligned with the 2023/25 Budget recognising the Inverclyde Leisure business model pressures such as shortfalls in income, increases in utilities, and other inflationary pressures such as pay. A report was submitted to the November 2022 Education and Communities Committee outlining proposals to reduce the funding pressure addressing a potential major reduction in the Inverclyde Leisure managed estate. The proposals were subject to public consultation and were considered as part of the previous budget setting process, however, no decisions in respect of a reduction in Leisure estate assets have been taken at this time</w:t>
      </w:r>
      <w:r w:rsidR="00D07C08">
        <w:t>.</w:t>
      </w:r>
    </w:p>
    <w:p w14:paraId="5D04E1FA" w14:textId="450E2463" w:rsidR="009F17CA" w:rsidRPr="00AB0AC2" w:rsidRDefault="009C5544" w:rsidP="009F17CA">
      <w:pPr>
        <w:pStyle w:val="Heading3"/>
      </w:pPr>
      <w:r>
        <w:t>Health &amp; Social Care Partnership</w:t>
      </w:r>
      <w:r w:rsidR="009F17CA" w:rsidRPr="00AB0AC2">
        <w:t xml:space="preserve"> </w:t>
      </w:r>
    </w:p>
    <w:p w14:paraId="25C6D826" w14:textId="44131CDB" w:rsidR="004949D5" w:rsidRDefault="00EF0623" w:rsidP="00EF0623">
      <w:pPr>
        <w:pStyle w:val="BodyText"/>
      </w:pPr>
      <w:r>
        <w:t xml:space="preserve">In addition to the regular review of HSCP properties to identify opportunities for reconfiguration of services that support co-location, work has been undertaken across the NHS Greater Glasgow &amp; Clyde area to develop a Primary Care Property Strategy which seeks to better understand the current utilisation of property and its suitability for existing and future service provision. This strategy </w:t>
      </w:r>
      <w:r w:rsidRPr="00EF0623">
        <w:t>will assist with future business cases and inform board infrastructure investment decisions</w:t>
      </w:r>
      <w:r>
        <w:t>.</w:t>
      </w:r>
    </w:p>
    <w:p w14:paraId="2156D501" w14:textId="0B419DC7" w:rsidR="00EF0623" w:rsidRDefault="00EF0623" w:rsidP="00EF0623">
      <w:pPr>
        <w:pStyle w:val="BodyText"/>
      </w:pPr>
      <w:r>
        <w:t>A number of shared service offices were addressed as part of the Offices Asset Management plan and consolidation within the Hector McNeil House building completed in 2014. Two further major HSCP projects were delivered with Scottish Government funding support, the Adult and Older People Complex Care Beds facility (Orchard View) opened in summer 2017, and the Greenock Health and Care Centre became operational in March 2021.</w:t>
      </w:r>
    </w:p>
    <w:p w14:paraId="5E4CA5EB" w14:textId="44FB6C1C" w:rsidR="00EF0623" w:rsidRDefault="00EF0623" w:rsidP="00EF0623">
      <w:pPr>
        <w:pStyle w:val="BodyText"/>
      </w:pPr>
      <w:r>
        <w:t>Further asset areas were addressed via the phased re-provisioning of Inverclyde’s Children’s Residential Services with one unit (Kylemore) completed in March 2013, a further unit (Cardross ‘the View’) completed in January 2018, and the final unit (Crosshill) completed in October 2022 following delays experienced through a combination of the insolvency of the original main contractor and COVID-19.</w:t>
      </w:r>
    </w:p>
    <w:p w14:paraId="40558689" w14:textId="77777777" w:rsidR="00F37012" w:rsidRDefault="00F37012" w:rsidP="00EF0623">
      <w:pPr>
        <w:pStyle w:val="BodyText"/>
      </w:pPr>
    </w:p>
    <w:p w14:paraId="7A213F10" w14:textId="77777777" w:rsidR="00F37012" w:rsidRDefault="00F37012" w:rsidP="00EF0623">
      <w:pPr>
        <w:pStyle w:val="BodyText"/>
      </w:pPr>
    </w:p>
    <w:p w14:paraId="38FCE1C8" w14:textId="77777777" w:rsidR="00F37012" w:rsidRDefault="00F37012" w:rsidP="00EF0623">
      <w:pPr>
        <w:pStyle w:val="BodyText"/>
      </w:pPr>
    </w:p>
    <w:p w14:paraId="78686F40" w14:textId="77777777" w:rsidR="00F37012" w:rsidRDefault="00F37012" w:rsidP="00EF0623">
      <w:pPr>
        <w:pStyle w:val="BodyText"/>
      </w:pPr>
    </w:p>
    <w:p w14:paraId="63F065ED" w14:textId="77777777" w:rsidR="00F37012" w:rsidRDefault="00F37012" w:rsidP="00EF0623">
      <w:pPr>
        <w:pStyle w:val="BodyText"/>
      </w:pPr>
    </w:p>
    <w:p w14:paraId="20F1B858" w14:textId="55E1DF6F" w:rsidR="004949D5" w:rsidRDefault="00EF0623" w:rsidP="009A1FC4">
      <w:pPr>
        <w:pStyle w:val="BodyText"/>
      </w:pPr>
      <w:r>
        <w:lastRenderedPageBreak/>
        <w:t>The Strategic Review of Services for Adults with Learning Disabilities in Inverclyde was signed off by the Integration Joint Board in December 2016. As part of the Service redesign, a number of properties historically used by the service were decommissioned and flats at Lynedoch Street and Hope Street vacated and released back to the relevant Registered Social Landlords. Golf Road was vacated in June 2018 and the McPherson Centre decommissioned in September 2018 with full integration into the Fitzgerald Centre following work within the Fitzgerald Centre to upgrade personal care facilities, storage and sensory areas undertaken over summer 2018. The longer</w:t>
      </w:r>
      <w:r w:rsidR="0003544C">
        <w:t>-</w:t>
      </w:r>
      <w:r>
        <w:t>term plan remains for a new Inverclyde Community Hub with business case approved in February 2020. The progression of the project has been delayed through COVID and has also involved the approval of additional funding and a fundamental review of the design proposals to address the overall affordability of the project including the adoption of a low carbon design approach with the support of external grant funding through the Low Carbon Fund / Vacant and Derelict Land Investment Programme (VDLIP). The final re-tender exercise is due to be completed at the end of 1st Quarter 2024.</w:t>
      </w:r>
    </w:p>
    <w:p w14:paraId="486D4AB4" w14:textId="0F4EB0E5" w:rsidR="009A1FC4" w:rsidRDefault="009A1FC4" w:rsidP="009A1FC4">
      <w:pPr>
        <w:pStyle w:val="BodyText"/>
      </w:pPr>
      <w:r>
        <w:t>The homelessness service has implemented a change programme to drive forward a full-service redesign in response to recommendations made by The Homelessness and Rough Sleeping Action Group which includes the development of a Rapid Rehousing Transition Plan (RRTP). The rebranding of the service as a Housing Options and Homelessness Advice Service was a major milestone with the cross-sector partnership and early intervention involved in this approach fundamental to reducing the need for temporary accommodation by preventing homelessness. A review of the estate and accommodation requirements are an integral part of the ongoing change programme / service redesign.</w:t>
      </w:r>
    </w:p>
    <w:p w14:paraId="64E350DF" w14:textId="4C46B4DD" w:rsidR="009A1FC4" w:rsidRDefault="009A1FC4" w:rsidP="009A1FC4">
      <w:pPr>
        <w:pStyle w:val="BodyText"/>
      </w:pPr>
      <w:r>
        <w:t>Other specific property issues remain for Health &amp; Social Care around the future of the Centre for Independent Living store, the continued lease of the Unpaid Work Unit at Kingston Industrial Estate and there is a need to review provision at the Wellpark Centre and the Hillend Centre.</w:t>
      </w:r>
    </w:p>
    <w:p w14:paraId="2FFF2A84" w14:textId="042D1737" w:rsidR="009A1FC4" w:rsidRDefault="00FD039F" w:rsidP="00FD039F">
      <w:pPr>
        <w:pStyle w:val="BodyText"/>
      </w:pPr>
      <w:r>
        <w:t>Day to day investment in the HSCP buildings is funded from the general Property AMP but the funding for transformational change in service delivery requires to be funded elsewhere. For the Children’s Units, funding came from a combination of prudential borrowing funded by service savings, reserves and core capital grant. The new Inverclyde Community Hub will also be funded largely by prudential borrowing.</w:t>
      </w:r>
    </w:p>
    <w:p w14:paraId="61DC9B26" w14:textId="12D16C11" w:rsidR="009C5544" w:rsidRPr="00AB0AC2" w:rsidRDefault="009C5544" w:rsidP="009C5544">
      <w:pPr>
        <w:pStyle w:val="Heading3"/>
      </w:pPr>
      <w:r>
        <w:t>Commercial &amp; Industrial Portfolio</w:t>
      </w:r>
      <w:r w:rsidRPr="00AB0AC2">
        <w:t xml:space="preserve"> </w:t>
      </w:r>
    </w:p>
    <w:p w14:paraId="522368B0" w14:textId="44052303" w:rsidR="004949D5" w:rsidRDefault="004949D5" w:rsidP="004949D5">
      <w:pPr>
        <w:pStyle w:val="BodyText"/>
      </w:pPr>
      <w:r>
        <w:t>The Councils own commercial and industrial property portfolio is an acknowledged Corporate Asset generating significant rental income and is managed by the Regeneration</w:t>
      </w:r>
      <w:r w:rsidR="00EF4028">
        <w:t>,</w:t>
      </w:r>
      <w:r>
        <w:t xml:space="preserve"> Planning </w:t>
      </w:r>
      <w:r w:rsidR="00EF4028">
        <w:t xml:space="preserve">and Public Protection </w:t>
      </w:r>
      <w:r>
        <w:t>Service. The portfolio contains one hundred and t</w:t>
      </w:r>
      <w:r w:rsidR="00EF4028">
        <w:t>wenty-two</w:t>
      </w:r>
      <w:r>
        <w:t xml:space="preserve"> properties with a small number of industrial units within an estate located in South</w:t>
      </w:r>
      <w:r w:rsidR="00A81E7C">
        <w:t>w</w:t>
      </w:r>
      <w:r>
        <w:t xml:space="preserve">est Greenock, and the remainder comprising small retail units across the Authority area. </w:t>
      </w:r>
    </w:p>
    <w:p w14:paraId="087732CD" w14:textId="2B2DF733" w:rsidR="004949D5" w:rsidRDefault="00EF4028" w:rsidP="004949D5">
      <w:pPr>
        <w:pStyle w:val="BodyText"/>
      </w:pPr>
      <w:r w:rsidRPr="00EF4028">
        <w:t>The Councils Environment &amp; Regeneration Committee approved a number of business support initiatives within Inverclyde Town &amp; Village centres including funding of up to £2,000 for business start-ups moving into commercial premises. The grant will contribute towards the set-up costs for a business and will compliment other property related grant funding in tandem with the existing property grant scheme</w:t>
      </w:r>
      <w:r w:rsidR="004949D5">
        <w:t>.</w:t>
      </w:r>
    </w:p>
    <w:p w14:paraId="5669F187" w14:textId="0E49BC95" w:rsidR="009C5544" w:rsidRDefault="004949D5" w:rsidP="004949D5">
      <w:pPr>
        <w:pStyle w:val="BodyText"/>
      </w:pPr>
      <w:r>
        <w:t>The Council will continue, within current budgetary constraints, to develop a proactive maintenance regime for all of its empty commercial properties based on identified repair and maintenance liabilities to ensure that the portfolio provides accessible, attractive, and fit for purpose commercial and industrial premises.</w:t>
      </w:r>
    </w:p>
    <w:p w14:paraId="4177072E" w14:textId="77777777" w:rsidR="00F37012" w:rsidRDefault="00F37012" w:rsidP="004949D5">
      <w:pPr>
        <w:pStyle w:val="BodyText"/>
      </w:pPr>
    </w:p>
    <w:p w14:paraId="3217237F" w14:textId="3B5B0D04" w:rsidR="009C5544" w:rsidRPr="00AB0AC2" w:rsidRDefault="009C5544" w:rsidP="009C5544">
      <w:pPr>
        <w:pStyle w:val="Heading3"/>
      </w:pPr>
      <w:bookmarkStart w:id="30" w:name="_Hlk162015950"/>
      <w:r>
        <w:lastRenderedPageBreak/>
        <w:t>Farms</w:t>
      </w:r>
      <w:r w:rsidRPr="00AB0AC2">
        <w:t xml:space="preserve"> </w:t>
      </w:r>
    </w:p>
    <w:p w14:paraId="232BB8CB" w14:textId="5B63E232" w:rsidR="009C5544" w:rsidRDefault="009C5544" w:rsidP="009C5544">
      <w:pPr>
        <w:pStyle w:val="BodyText"/>
      </w:pPr>
      <w:r>
        <w:t xml:space="preserve">Inverclyde </w:t>
      </w:r>
      <w:r w:rsidR="00A81E7C">
        <w:t xml:space="preserve">has previously </w:t>
      </w:r>
      <w:r w:rsidR="004949D5" w:rsidRPr="004949D5">
        <w:t>undert</w:t>
      </w:r>
      <w:r w:rsidR="00A81E7C">
        <w:t>aken</w:t>
      </w:r>
      <w:r w:rsidR="004949D5" w:rsidRPr="004949D5">
        <w:t xml:space="preserve"> a review of its farming assets and considered several reports on these holdings. The </w:t>
      </w:r>
      <w:bookmarkEnd w:id="30"/>
      <w:r w:rsidR="004949D5" w:rsidRPr="004949D5">
        <w:t>Council decided to retain these assets and continues to manage the holdings in relation to its detailed rights and obligations in terms of the Agricultural Holdings legislation and relevant leases.</w:t>
      </w:r>
    </w:p>
    <w:p w14:paraId="3775F1D6" w14:textId="3DF38612" w:rsidR="00B54752" w:rsidRPr="00AB0AC2" w:rsidRDefault="00B54752" w:rsidP="00B54752">
      <w:pPr>
        <w:pStyle w:val="Heading3"/>
      </w:pPr>
      <w:r>
        <w:t>Coastal Assets</w:t>
      </w:r>
      <w:r w:rsidRPr="00AB0AC2">
        <w:t xml:space="preserve"> </w:t>
      </w:r>
    </w:p>
    <w:p w14:paraId="7D560173" w14:textId="69E43E8B" w:rsidR="00B54752" w:rsidRPr="00404A96" w:rsidRDefault="00B54752" w:rsidP="009C5544">
      <w:pPr>
        <w:pStyle w:val="BodyText"/>
      </w:pPr>
      <w:r>
        <w:t xml:space="preserve">Provision was made in the 2020/21 budget to address the progression of surveys and mapping of Council coastal assets i.e. sea walls and other coastal defence installations/structures to establish condition and any current/future capital project works required. A number of surveys have been undertaken through external specialist consultants with priority marine side remedial works at the Greenock Waterfront area </w:t>
      </w:r>
      <w:r w:rsidR="00A34F54">
        <w:t>programmed for summer 2024</w:t>
      </w:r>
      <w:r>
        <w:t xml:space="preserve">. Surveys of the Newark to Kelburn walkway were undertaken in first quarter 2023 with a condition report completed which identified a need for periodic reinspection, and that significant remedial works are likely to be required in the medium term to ensure the existing coastal walkway protection measures remain effective. A survey of the sea wall and defences at Gourock Outdoor Pool was completed in October 2023 with condition report received and recommendations to follow. The work in this area will continue as part of the wider Corporate Asset Management strategy and activity and will be aligned with </w:t>
      </w:r>
      <w:r w:rsidR="0003544C">
        <w:t>-</w:t>
      </w:r>
      <w:r>
        <w:t xml:space="preserve">Coastal Change Adaptation </w:t>
      </w:r>
      <w:r w:rsidR="00A34F54">
        <w:t>workstream</w:t>
      </w:r>
      <w:r>
        <w:t>. Coastal assets condition and effectiveness represent a funding pressure in the context of the available limited capital funding resources available for asset lifecycle investment.</w:t>
      </w:r>
    </w:p>
    <w:p w14:paraId="095999FE" w14:textId="5E2921A8" w:rsidR="00B34817" w:rsidRDefault="009C5544">
      <w:pPr>
        <w:pStyle w:val="Heading2"/>
      </w:pPr>
      <w:bookmarkStart w:id="31" w:name="_Toc152660751"/>
      <w:bookmarkStart w:id="32" w:name="_Toc157688344"/>
      <w:r>
        <w:t>Open Space</w:t>
      </w:r>
      <w:bookmarkEnd w:id="31"/>
      <w:bookmarkEnd w:id="32"/>
    </w:p>
    <w:p w14:paraId="438A1D7F" w14:textId="045E358D" w:rsidR="001837A7" w:rsidRDefault="001837A7" w:rsidP="00B54752">
      <w:pPr>
        <w:pStyle w:val="BodyText"/>
      </w:pPr>
      <w:r>
        <w:t xml:space="preserve">The Open Space Asset Management Plan (OSAMP) logs all assets owned or occupied by Inverclyde Council in the areas of remit concerned which includes Parks and Cemeteries. </w:t>
      </w:r>
      <w:r w:rsidR="00A34F54">
        <w:t xml:space="preserve">A large proportion </w:t>
      </w:r>
      <w:r>
        <w:t xml:space="preserve">of </w:t>
      </w:r>
      <w:r w:rsidR="00A34F54">
        <w:t xml:space="preserve">the </w:t>
      </w:r>
      <w:r>
        <w:t>assets that require to be maintained on a regular and cyclic basis e.g. grass plots</w:t>
      </w:r>
      <w:r w:rsidR="00A34F54">
        <w:t>,</w:t>
      </w:r>
      <w:r>
        <w:t xml:space="preserve"> </w:t>
      </w:r>
      <w:r w:rsidR="00B54752">
        <w:t>f</w:t>
      </w:r>
      <w:r>
        <w:t>lower</w:t>
      </w:r>
      <w:r w:rsidR="00B54752">
        <w:t xml:space="preserve"> </w:t>
      </w:r>
      <w:r>
        <w:t>/</w:t>
      </w:r>
      <w:r w:rsidR="00B54752">
        <w:t xml:space="preserve"> </w:t>
      </w:r>
      <w:r>
        <w:t>rose</w:t>
      </w:r>
      <w:r w:rsidR="00B54752">
        <w:t xml:space="preserve"> </w:t>
      </w:r>
      <w:r>
        <w:t>/</w:t>
      </w:r>
      <w:r w:rsidR="00B54752">
        <w:t xml:space="preserve"> </w:t>
      </w:r>
      <w:r>
        <w:t>shrub beds</w:t>
      </w:r>
      <w:r w:rsidR="00A34F54">
        <w:t>,</w:t>
      </w:r>
      <w:r>
        <w:t xml:space="preserve"> sports pitches</w:t>
      </w:r>
      <w:r w:rsidR="00A34F54">
        <w:t>,</w:t>
      </w:r>
      <w:r>
        <w:t xml:space="preserve"> golf course</w:t>
      </w:r>
      <w:r w:rsidR="00A34F54">
        <w:t>,</w:t>
      </w:r>
      <w:r>
        <w:t xml:space="preserve"> etc. are recorded and the day-to-day cost of maintaining these items is </w:t>
      </w:r>
      <w:r w:rsidR="00B54752">
        <w:t>addressed</w:t>
      </w:r>
      <w:r>
        <w:t xml:space="preserve"> from existing revenue budget</w:t>
      </w:r>
      <w:r w:rsidR="00B54752">
        <w:t>s</w:t>
      </w:r>
      <w:r>
        <w:t>.</w:t>
      </w:r>
    </w:p>
    <w:p w14:paraId="5487F929" w14:textId="643FC3D2" w:rsidR="001837A7" w:rsidRDefault="001837A7" w:rsidP="001837A7">
      <w:pPr>
        <w:pStyle w:val="BodyText"/>
      </w:pPr>
      <w:r>
        <w:t>The OSAMP primary purpose is to identify assets which require investment in terms of significant repair, refurbishment, renewal</w:t>
      </w:r>
      <w:r w:rsidR="00A34F54">
        <w:t>,</w:t>
      </w:r>
      <w:r>
        <w:t xml:space="preserve"> or replacement either immediately or over the medium to longer ter</w:t>
      </w:r>
      <w:r w:rsidR="00A34F54">
        <w:t>m</w:t>
      </w:r>
      <w:r>
        <w:t xml:space="preserve">. Investment required within open space includes for new and/or expansion to existing burial grounds. Provision is also required for continued investment in the upgrade of existing </w:t>
      </w:r>
      <w:r w:rsidR="00A34F54">
        <w:t xml:space="preserve">public </w:t>
      </w:r>
      <w:r>
        <w:t xml:space="preserve">parks and play areas to ensure facilities are of acceptable condition and suitability. </w:t>
      </w:r>
      <w:r w:rsidR="00B54752" w:rsidRPr="00B54752">
        <w:t>The wide range and nature of the assets</w:t>
      </w:r>
      <w:r w:rsidR="00A34F54">
        <w:t>,</w:t>
      </w:r>
      <w:r w:rsidR="00B54752" w:rsidRPr="00B54752">
        <w:t xml:space="preserve"> </w:t>
      </w:r>
      <w:r w:rsidR="00B54752">
        <w:t>including</w:t>
      </w:r>
      <w:r w:rsidR="00B54752" w:rsidRPr="00B54752">
        <w:t xml:space="preserve"> legacy works required in some areas</w:t>
      </w:r>
      <w:r w:rsidR="00B54752">
        <w:t>,</w:t>
      </w:r>
      <w:r w:rsidR="00B54752" w:rsidRPr="00B54752">
        <w:t xml:space="preserve"> makes the preparation of a systematic and cyclical detailed AMP challenging. Focus has </w:t>
      </w:r>
      <w:r w:rsidR="00B54752">
        <w:t xml:space="preserve">predominantly </w:t>
      </w:r>
      <w:r w:rsidR="00B54752" w:rsidRPr="00B54752">
        <w:t>been on the maintenance of existing infrastructure</w:t>
      </w:r>
      <w:r w:rsidR="00B54752">
        <w:t>.</w:t>
      </w:r>
    </w:p>
    <w:p w14:paraId="54E6070E" w14:textId="282EF77F" w:rsidR="00505E29" w:rsidRDefault="00505E29" w:rsidP="001837A7">
      <w:pPr>
        <w:pStyle w:val="BodyText"/>
      </w:pPr>
      <w:r w:rsidRPr="00505E29">
        <w:t>Based on the information to date an annual capital sum of £</w:t>
      </w:r>
      <w:r>
        <w:t>0.</w:t>
      </w:r>
      <w:r w:rsidRPr="00505E29">
        <w:t>2</w:t>
      </w:r>
      <w:r>
        <w:t>m</w:t>
      </w:r>
      <w:r w:rsidRPr="00505E29">
        <w:t xml:space="preserve"> is allocated for general lifecycle maintenance. In addition</w:t>
      </w:r>
      <w:r>
        <w:t>,</w:t>
      </w:r>
      <w:r w:rsidRPr="00505E29">
        <w:t xml:space="preserve"> the Council has </w:t>
      </w:r>
      <w:r>
        <w:t xml:space="preserve">invested over </w:t>
      </w:r>
      <w:r w:rsidRPr="00505E29">
        <w:t>£3</w:t>
      </w:r>
      <w:r>
        <w:t>m</w:t>
      </w:r>
      <w:r w:rsidRPr="00505E29">
        <w:t xml:space="preserve"> to expand </w:t>
      </w:r>
      <w:r>
        <w:t>b</w:t>
      </w:r>
      <w:r w:rsidRPr="00505E29">
        <w:t xml:space="preserve">urial </w:t>
      </w:r>
      <w:r>
        <w:t>g</w:t>
      </w:r>
      <w:r w:rsidRPr="00505E29">
        <w:t>rounds provision and replace</w:t>
      </w:r>
      <w:r>
        <w:t>ment of</w:t>
      </w:r>
      <w:r w:rsidRPr="00505E29">
        <w:t xml:space="preserve"> the Council’s cremators</w:t>
      </w:r>
      <w:r>
        <w:t xml:space="preserve"> with those projects completed over 2023/24</w:t>
      </w:r>
      <w:r w:rsidRPr="00505E29">
        <w:t xml:space="preserve">. </w:t>
      </w:r>
      <w:r>
        <w:t>Development work will be required in 2 to 3 years for further cemetery expansion with associated capital investment consideration.</w:t>
      </w:r>
    </w:p>
    <w:p w14:paraId="40A4644C" w14:textId="27C9AB8F" w:rsidR="0069187E" w:rsidRDefault="00505E29" w:rsidP="00505E29">
      <w:pPr>
        <w:pStyle w:val="BodyText"/>
      </w:pPr>
      <w:r>
        <w:t>In 2023/24 funding from the Nature Restoration Fund (NRF) has allowed the development of future “shovel ready” projects. Additional funding streams through the NRF will assist in developing larger schemes. A focus on naturalisation, tree growing, and biodivers</w:t>
      </w:r>
      <w:r w:rsidR="007F218D">
        <w:t>ity</w:t>
      </w:r>
      <w:r>
        <w:t xml:space="preserve"> rich projects will support the Council’s Net Zero ambitions. Additional ongoing maintenance however will become a consideration in later years with revenue pressures on facilities as they age</w:t>
      </w:r>
      <w:r w:rsidR="001837A7">
        <w:t>.</w:t>
      </w:r>
    </w:p>
    <w:p w14:paraId="38127149" w14:textId="77777777" w:rsidR="0003544C" w:rsidRDefault="0003544C" w:rsidP="00505E29">
      <w:pPr>
        <w:pStyle w:val="BodyText"/>
      </w:pPr>
    </w:p>
    <w:p w14:paraId="548B3D6E" w14:textId="603F31F3" w:rsidR="00AB0AC2" w:rsidRPr="00AB0AC2" w:rsidRDefault="009C5544" w:rsidP="00283529">
      <w:pPr>
        <w:pStyle w:val="Heading2"/>
      </w:pPr>
      <w:bookmarkStart w:id="33" w:name="_Toc157688345"/>
      <w:r>
        <w:lastRenderedPageBreak/>
        <w:t>Roads</w:t>
      </w:r>
      <w:bookmarkEnd w:id="33"/>
    </w:p>
    <w:p w14:paraId="5DE2C8FE" w14:textId="1341082C" w:rsidR="001E2DB8" w:rsidRDefault="00650346" w:rsidP="00690D23">
      <w:pPr>
        <w:pStyle w:val="BodyText"/>
      </w:pPr>
      <w:r>
        <w:t xml:space="preserve">The </w:t>
      </w:r>
      <w:r w:rsidR="00F74068">
        <w:t>Council approved a comprehensive Roads Asset Management Strategy (RAMS) which was then utilised to develop the Roads Asset Management Plan (RAMP) and funding model in August 2012</w:t>
      </w:r>
      <w:r w:rsidR="001837A7" w:rsidRPr="001837A7">
        <w:t xml:space="preserve">. </w:t>
      </w:r>
      <w:r w:rsidR="00F74068" w:rsidRPr="00F74068">
        <w:t>The Roads Asset Management Plan sets out the Council’s strategy for maintaining the road network and its associated assets.</w:t>
      </w:r>
      <w:r w:rsidR="00F74068">
        <w:t xml:space="preserve"> </w:t>
      </w:r>
      <w:r w:rsidR="001837A7" w:rsidRPr="001837A7">
        <w:t xml:space="preserve">A total of £29m was </w:t>
      </w:r>
      <w:r w:rsidR="00F74068">
        <w:t>identified</w:t>
      </w:r>
      <w:r w:rsidR="001837A7" w:rsidRPr="001837A7">
        <w:t xml:space="preserve"> for the period April 2013 to March 2018 to </w:t>
      </w:r>
      <w:r w:rsidR="00F74068">
        <w:t>improve the roads infrastructure – carriageways, footways, lighting columns and structures, this included road and pavement resurfacing works, an extensive road patching and pothole repairs programme, street lighting replacement works and improvements to bridges and roads structures</w:t>
      </w:r>
      <w:r w:rsidR="001837A7" w:rsidRPr="001837A7">
        <w:t>.</w:t>
      </w:r>
      <w:r w:rsidR="00F74068">
        <w:t xml:space="preserve"> </w:t>
      </w:r>
      <w:r w:rsidR="001837A7" w:rsidRPr="001837A7">
        <w:t>Further to this investment, a second phase of RAMP</w:t>
      </w:r>
      <w:r w:rsidR="00D52D2A" w:rsidRPr="00CB58C5">
        <w:rPr>
          <w:rStyle w:val="FootnoteReference"/>
        </w:rPr>
        <w:footnoteReference w:id="16"/>
      </w:r>
      <w:r w:rsidR="001837A7" w:rsidRPr="001837A7">
        <w:t xml:space="preserve"> funding was allocated to the value of £15m for the period April 2018 to March 2023.</w:t>
      </w:r>
      <w:r w:rsidR="00F74068">
        <w:t xml:space="preserve"> The most recent RAMS is currently being finalised with an annual budget allocation of £2.75m currently available to continue the prioritised capital </w:t>
      </w:r>
      <w:r w:rsidR="00690D23">
        <w:t xml:space="preserve">programme across the </w:t>
      </w:r>
      <w:r w:rsidR="00F74068">
        <w:t>network</w:t>
      </w:r>
      <w:r w:rsidR="00690D23">
        <w:t>.</w:t>
      </w:r>
      <w:r w:rsidR="00690D23" w:rsidRPr="00690D23">
        <w:t xml:space="preserve"> </w:t>
      </w:r>
      <w:r w:rsidR="001E2DB8" w:rsidRPr="001E2DB8">
        <w:t>The programme is also supplemented through specific Scottish Government grant aided funding in connection with initiatives such as the Cycling, Walking &amp; Safer Streets programme.</w:t>
      </w:r>
    </w:p>
    <w:p w14:paraId="23A6BCED" w14:textId="11D30408" w:rsidR="00690D23" w:rsidRDefault="00690D23" w:rsidP="001E2DB8">
      <w:pPr>
        <w:pStyle w:val="BodyText"/>
      </w:pPr>
      <w:r>
        <w:t>The RAMP has resulted in a reduction in the number of Inverclyde’s roads, footways, streetlights, and road structures which require costly ongoing defect repair treatments while providing increased future lifespan.</w:t>
      </w:r>
      <w:r w:rsidR="001E2DB8">
        <w:t xml:space="preserve"> </w:t>
      </w:r>
      <w:r w:rsidRPr="00690D23">
        <w:t>Over 9</w:t>
      </w:r>
      <w:r w:rsidR="001E2DB8">
        <w:t>7</w:t>
      </w:r>
      <w:r w:rsidRPr="00690D23">
        <w:t>% of the Council’s streetlights have now been upgraded to low energy LED types which has halved electrical power consumption, reduced energy and maintenance costs to the Council and has reduced the carbon footprint.</w:t>
      </w:r>
    </w:p>
    <w:p w14:paraId="627CE0FA" w14:textId="0D2745E9" w:rsidR="001E2DB8" w:rsidRDefault="001E2DB8" w:rsidP="001E2DB8">
      <w:pPr>
        <w:pStyle w:val="BodyText"/>
      </w:pPr>
      <w:r w:rsidRPr="001E2DB8">
        <w:t xml:space="preserve">In addition to the above the Council </w:t>
      </w:r>
      <w:r>
        <w:t xml:space="preserve">has </w:t>
      </w:r>
      <w:r w:rsidRPr="001E2DB8">
        <w:t xml:space="preserve">also </w:t>
      </w:r>
      <w:r>
        <w:t xml:space="preserve">taken forward </w:t>
      </w:r>
      <w:r w:rsidRPr="001E2DB8">
        <w:t>a significant programme for the investigation, design and construction of various flood prevention schemes within Inverclyde</w:t>
      </w:r>
      <w:r w:rsidR="00226BA9" w:rsidRPr="00226BA9">
        <w:t xml:space="preserve"> both as part of the Central Greenock Flood Prevention Project, and through a number of schemes out with the Central Greenock area</w:t>
      </w:r>
      <w:r w:rsidRPr="001E2DB8">
        <w:t>.</w:t>
      </w:r>
    </w:p>
    <w:p w14:paraId="0B874988" w14:textId="63C1FBB0" w:rsidR="001837A7" w:rsidRDefault="00690D23" w:rsidP="00690D23">
      <w:pPr>
        <w:pStyle w:val="BodyText"/>
      </w:pPr>
      <w:r>
        <w:t>From the implementation of the RAMP in 2013 to present, the Road Condition Indicator (RCI – see table below) has significantly reduced, demonstrating that the planned investment is resulting in a significant improvement to the condition of Inverclyde’s road network</w:t>
      </w:r>
      <w:r w:rsidR="001837A7" w:rsidRPr="001837A7">
        <w:t>.</w:t>
      </w:r>
      <w:r w:rsidRPr="00690D23">
        <w:t xml:space="preserve"> </w:t>
      </w:r>
      <w:r>
        <w:t>During this time Inverclyde Council has also received awards from The Association for Public Service Excellence (APSE) for the most improved performer in 2016 for Roads, Highways and Winter Maintenance and for Street Lighting in 2017 and again in 2019.</w:t>
      </w:r>
    </w:p>
    <w:tbl>
      <w:tblPr>
        <w:tblpPr w:leftFromText="180" w:rightFromText="180" w:vertAnchor="text" w:horzAnchor="margin" w:tblpXSpec="center" w:tblpY="193"/>
        <w:tblW w:w="0" w:type="auto"/>
        <w:jc w:val="center"/>
        <w:tblBorders>
          <w:top w:val="single" w:sz="18" w:space="0" w:color="auto"/>
          <w:left w:val="single" w:sz="18" w:space="0" w:color="auto"/>
          <w:bottom w:val="single" w:sz="18" w:space="0" w:color="auto"/>
          <w:right w:val="single" w:sz="18" w:space="0" w:color="auto"/>
          <w:insideH w:val="single" w:sz="4" w:space="0" w:color="auto"/>
        </w:tblBorders>
        <w:tblLayout w:type="fixed"/>
        <w:tblCellMar>
          <w:left w:w="0" w:type="dxa"/>
          <w:right w:w="0" w:type="dxa"/>
        </w:tblCellMar>
        <w:tblLook w:val="0000" w:firstRow="0" w:lastRow="0" w:firstColumn="0" w:lastColumn="0" w:noHBand="0" w:noVBand="0"/>
      </w:tblPr>
      <w:tblGrid>
        <w:gridCol w:w="920"/>
        <w:gridCol w:w="920"/>
        <w:gridCol w:w="920"/>
        <w:gridCol w:w="920"/>
        <w:gridCol w:w="923"/>
      </w:tblGrid>
      <w:tr w:rsidR="001837A7" w:rsidRPr="001837A7" w14:paraId="115CD7FB" w14:textId="77777777" w:rsidTr="00BD2D70">
        <w:trPr>
          <w:trHeight w:val="153"/>
          <w:jc w:val="center"/>
        </w:trPr>
        <w:tc>
          <w:tcPr>
            <w:tcW w:w="4603" w:type="dxa"/>
            <w:gridSpan w:val="5"/>
            <w:tcBorders>
              <w:top w:val="single" w:sz="12" w:space="0" w:color="FFFFFF" w:themeColor="background1"/>
              <w:left w:val="single" w:sz="12" w:space="0" w:color="FFFFFF" w:themeColor="background1"/>
              <w:bottom w:val="single" w:sz="18" w:space="0" w:color="FFFFFF" w:themeColor="background1"/>
              <w:right w:val="nil"/>
            </w:tcBorders>
            <w:shd w:val="clear" w:color="auto" w:fill="1E4479" w:themeFill="accent1"/>
            <w:vAlign w:val="center"/>
          </w:tcPr>
          <w:p w14:paraId="086121DD" w14:textId="562A567B" w:rsidR="001837A7" w:rsidRPr="00BD2D70" w:rsidRDefault="001837A7" w:rsidP="00BD2D70">
            <w:pPr>
              <w:autoSpaceDE w:val="0"/>
              <w:autoSpaceDN w:val="0"/>
              <w:adjustRightInd w:val="0"/>
              <w:spacing w:after="0"/>
              <w:jc w:val="center"/>
              <w:rPr>
                <w:rFonts w:asciiTheme="minorHAnsi" w:eastAsia="Times New Roman" w:hAnsiTheme="minorHAnsi" w:cs="Calibri"/>
                <w:b/>
                <w:bCs/>
                <w:color w:val="FFFFFF" w:themeColor="background1"/>
                <w:szCs w:val="18"/>
                <w:lang w:eastAsia="en-GB"/>
              </w:rPr>
            </w:pPr>
            <w:r w:rsidRPr="00B6169A">
              <w:rPr>
                <w:rFonts w:asciiTheme="minorHAnsi" w:eastAsia="Times New Roman" w:hAnsiTheme="minorHAnsi" w:cs="Calibri"/>
                <w:b/>
                <w:bCs/>
                <w:color w:val="FFFFFF" w:themeColor="background1"/>
                <w:szCs w:val="18"/>
                <w:lang w:eastAsia="en-GB"/>
              </w:rPr>
              <w:t>Scottish Road Maintenance Condition Survey (SRMCS) Results</w:t>
            </w:r>
          </w:p>
        </w:tc>
      </w:tr>
      <w:tr w:rsidR="001837A7" w:rsidRPr="001837A7" w14:paraId="3828FC4A"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tcPr>
          <w:p w14:paraId="31D6709B" w14:textId="77777777" w:rsidR="001837A7" w:rsidRPr="00BD2D70" w:rsidRDefault="001837A7" w:rsidP="001837A7">
            <w:pPr>
              <w:autoSpaceDE w:val="0"/>
              <w:autoSpaceDN w:val="0"/>
              <w:adjustRightInd w:val="0"/>
              <w:spacing w:after="0"/>
              <w:rPr>
                <w:rFonts w:asciiTheme="minorHAnsi" w:eastAsia="Times New Roman" w:hAnsiTheme="minorHAnsi" w:cs="Calibri"/>
                <w:color w:val="FFFFFF" w:themeColor="background1"/>
                <w:szCs w:val="18"/>
                <w:lang w:eastAsia="en-GB"/>
              </w:rPr>
            </w:pPr>
            <w:r w:rsidRPr="00BD2D70">
              <w:rPr>
                <w:rFonts w:asciiTheme="minorHAnsi" w:eastAsia="Times New Roman" w:hAnsiTheme="minorHAnsi" w:cs="Times New Roman"/>
                <w:color w:val="FFFFFF" w:themeColor="background1"/>
                <w:szCs w:val="18"/>
                <w:lang w:eastAsia="en-GB"/>
              </w:rPr>
              <w:t xml:space="preserve"> </w:t>
            </w:r>
            <w:r w:rsidRPr="00BD2D70">
              <w:rPr>
                <w:rFonts w:asciiTheme="minorHAnsi" w:eastAsia="Times New Roman" w:hAnsiTheme="minorHAnsi" w:cs="Calibri"/>
                <w:b/>
                <w:bCs/>
                <w:color w:val="FFFFFF" w:themeColor="background1"/>
                <w:szCs w:val="18"/>
                <w:lang w:eastAsia="en-GB"/>
              </w:rPr>
              <w:t xml:space="preserve">Year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0000"/>
          </w:tcPr>
          <w:p w14:paraId="0AAABB89" w14:textId="77777777" w:rsidR="001837A7" w:rsidRPr="00BD2D70" w:rsidRDefault="001837A7" w:rsidP="001837A7">
            <w:pPr>
              <w:autoSpaceDE w:val="0"/>
              <w:autoSpaceDN w:val="0"/>
              <w:adjustRightInd w:val="0"/>
              <w:spacing w:after="0"/>
              <w:rPr>
                <w:rFonts w:asciiTheme="minorHAnsi" w:eastAsia="Times New Roman" w:hAnsiTheme="minorHAnsi" w:cs="Calibri"/>
                <w:color w:val="FFFFFF" w:themeColor="background1"/>
                <w:szCs w:val="18"/>
                <w:lang w:eastAsia="en-GB"/>
              </w:rPr>
            </w:pPr>
            <w:r w:rsidRPr="00BD2D70">
              <w:rPr>
                <w:rFonts w:asciiTheme="minorHAnsi" w:eastAsia="Times New Roman" w:hAnsiTheme="minorHAnsi" w:cs="Calibri"/>
                <w:color w:val="FFFFFF" w:themeColor="background1"/>
                <w:szCs w:val="18"/>
                <w:lang w:eastAsia="en-GB"/>
              </w:rPr>
              <w:t xml:space="preserve"> </w:t>
            </w:r>
            <w:r w:rsidRPr="00BD2D70">
              <w:rPr>
                <w:rFonts w:asciiTheme="minorHAnsi" w:eastAsia="Times New Roman" w:hAnsiTheme="minorHAnsi" w:cs="Calibri"/>
                <w:b/>
                <w:bCs/>
                <w:color w:val="FFFFFF" w:themeColor="background1"/>
                <w:szCs w:val="18"/>
                <w:lang w:eastAsia="en-GB"/>
              </w:rPr>
              <w:t xml:space="preserve">Red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FC000"/>
          </w:tcPr>
          <w:p w14:paraId="52E92659" w14:textId="77777777" w:rsidR="001837A7" w:rsidRPr="00BD2D70" w:rsidRDefault="001837A7" w:rsidP="001837A7">
            <w:pPr>
              <w:autoSpaceDE w:val="0"/>
              <w:autoSpaceDN w:val="0"/>
              <w:adjustRightInd w:val="0"/>
              <w:spacing w:after="0"/>
              <w:rPr>
                <w:rFonts w:asciiTheme="minorHAnsi" w:eastAsia="Times New Roman" w:hAnsiTheme="minorHAnsi" w:cs="Calibri"/>
                <w:color w:val="FFFFFF" w:themeColor="background1"/>
                <w:szCs w:val="18"/>
                <w:lang w:eastAsia="en-GB"/>
              </w:rPr>
            </w:pPr>
            <w:r w:rsidRPr="00BD2D70">
              <w:rPr>
                <w:rFonts w:asciiTheme="minorHAnsi" w:eastAsia="Times New Roman" w:hAnsiTheme="minorHAnsi" w:cs="Calibri"/>
                <w:color w:val="FFFFFF" w:themeColor="background1"/>
                <w:szCs w:val="18"/>
                <w:lang w:eastAsia="en-GB"/>
              </w:rPr>
              <w:t xml:space="preserve"> </w:t>
            </w:r>
            <w:r w:rsidRPr="00BD2D70">
              <w:rPr>
                <w:rFonts w:asciiTheme="minorHAnsi" w:eastAsia="Times New Roman" w:hAnsiTheme="minorHAnsi" w:cs="Calibri"/>
                <w:b/>
                <w:bCs/>
                <w:color w:val="FFFFFF" w:themeColor="background1"/>
                <w:szCs w:val="18"/>
                <w:lang w:eastAsia="en-GB"/>
              </w:rPr>
              <w:t xml:space="preserve">Amber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B050"/>
          </w:tcPr>
          <w:p w14:paraId="55710B48" w14:textId="77777777" w:rsidR="001837A7" w:rsidRPr="00BD2D70" w:rsidRDefault="001837A7" w:rsidP="001837A7">
            <w:pPr>
              <w:autoSpaceDE w:val="0"/>
              <w:autoSpaceDN w:val="0"/>
              <w:adjustRightInd w:val="0"/>
              <w:spacing w:after="0"/>
              <w:rPr>
                <w:rFonts w:asciiTheme="minorHAnsi" w:eastAsia="Times New Roman" w:hAnsiTheme="minorHAnsi" w:cs="Calibri"/>
                <w:color w:val="FFFFFF" w:themeColor="background1"/>
                <w:szCs w:val="18"/>
                <w:lang w:eastAsia="en-GB"/>
              </w:rPr>
            </w:pPr>
            <w:r w:rsidRPr="00BD2D70">
              <w:rPr>
                <w:rFonts w:asciiTheme="minorHAnsi" w:eastAsia="Times New Roman" w:hAnsiTheme="minorHAnsi" w:cs="Calibri"/>
                <w:color w:val="FFFFFF" w:themeColor="background1"/>
                <w:szCs w:val="18"/>
                <w:lang w:eastAsia="en-GB"/>
              </w:rPr>
              <w:t xml:space="preserve"> </w:t>
            </w:r>
            <w:r w:rsidRPr="00BD2D70">
              <w:rPr>
                <w:rFonts w:asciiTheme="minorHAnsi" w:eastAsia="Times New Roman" w:hAnsiTheme="minorHAnsi" w:cs="Calibri"/>
                <w:b/>
                <w:bCs/>
                <w:color w:val="FFFFFF" w:themeColor="background1"/>
                <w:szCs w:val="18"/>
                <w:lang w:eastAsia="en-GB"/>
              </w:rPr>
              <w:t xml:space="preserve">Green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08080" w:themeFill="background1" w:themeFillShade="80"/>
          </w:tcPr>
          <w:p w14:paraId="6CCAB906" w14:textId="77777777" w:rsidR="001837A7" w:rsidRPr="00BD2D70" w:rsidRDefault="001837A7" w:rsidP="001837A7">
            <w:pPr>
              <w:autoSpaceDE w:val="0"/>
              <w:autoSpaceDN w:val="0"/>
              <w:adjustRightInd w:val="0"/>
              <w:spacing w:after="0"/>
              <w:rPr>
                <w:rFonts w:asciiTheme="minorHAnsi" w:eastAsia="Times New Roman" w:hAnsiTheme="minorHAnsi" w:cs="Calibri"/>
                <w:color w:val="FFFFFF" w:themeColor="background1"/>
                <w:szCs w:val="18"/>
                <w:lang w:eastAsia="en-GB"/>
              </w:rPr>
            </w:pPr>
            <w:r w:rsidRPr="00BD2D70">
              <w:rPr>
                <w:rFonts w:asciiTheme="minorHAnsi" w:eastAsia="Times New Roman" w:hAnsiTheme="minorHAnsi" w:cs="Calibri"/>
                <w:color w:val="FFFFFF" w:themeColor="background1"/>
                <w:szCs w:val="18"/>
                <w:lang w:eastAsia="en-GB"/>
              </w:rPr>
              <w:t xml:space="preserve"> </w:t>
            </w:r>
            <w:r w:rsidRPr="00BD2D70">
              <w:rPr>
                <w:rFonts w:asciiTheme="minorHAnsi" w:eastAsia="Times New Roman" w:hAnsiTheme="minorHAnsi" w:cs="Calibri"/>
                <w:b/>
                <w:bCs/>
                <w:color w:val="FFFFFF" w:themeColor="background1"/>
                <w:szCs w:val="18"/>
                <w:lang w:eastAsia="en-GB"/>
              </w:rPr>
              <w:t xml:space="preserve">RCI </w:t>
            </w:r>
          </w:p>
        </w:tc>
      </w:tr>
      <w:tr w:rsidR="001837A7" w:rsidRPr="001837A7" w14:paraId="595CD4B7"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76365F2"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2011/13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5B4ABE31"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13.55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5D6F505D"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35.42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26AF593"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51.0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C5BD08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49.0 </w:t>
            </w:r>
          </w:p>
        </w:tc>
      </w:tr>
      <w:tr w:rsidR="001837A7" w:rsidRPr="001837A7" w14:paraId="32D774A4"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5959575B"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2012/14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537926F5"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12.69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9D86A3B"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36.55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E70427C"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50.8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3B35BDA"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49.2 </w:t>
            </w:r>
          </w:p>
        </w:tc>
      </w:tr>
      <w:tr w:rsidR="001837A7" w:rsidRPr="001837A7" w14:paraId="6CDE4C68"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0EA28522"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2013/15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0BDA1CC2"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10.80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98DE2D1"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35.47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343496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53.7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7651B8A"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46.3 </w:t>
            </w:r>
          </w:p>
        </w:tc>
      </w:tr>
      <w:tr w:rsidR="001837A7" w:rsidRPr="001837A7" w14:paraId="4BC3D84D"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726125E"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2014/16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A9B58DE"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10.11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4AD29B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33.18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22749D8"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56.7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848CBEB"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43.1 </w:t>
            </w:r>
          </w:p>
        </w:tc>
      </w:tr>
      <w:tr w:rsidR="001837A7" w:rsidRPr="001837A7" w14:paraId="4BED4E33"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34DEB53"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2015/17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F499177"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8.57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545E528D"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31.96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191E0A3"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59.5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46398E5"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40.5 </w:t>
            </w:r>
          </w:p>
        </w:tc>
      </w:tr>
      <w:tr w:rsidR="001837A7" w:rsidRPr="001837A7" w14:paraId="7DA45CDE"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9DDDF87"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2016/18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FD5388C"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7.09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1E75263"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30.80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2507FCD"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62.1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5439B2A"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37.9 </w:t>
            </w:r>
          </w:p>
        </w:tc>
      </w:tr>
      <w:tr w:rsidR="001837A7" w:rsidRPr="001837A7" w14:paraId="1D9FD297"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58B9CD9"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2017/19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80CEF65"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7.44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348E93C"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30.02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F2859D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62.5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0A0C86E6"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37.5 </w:t>
            </w:r>
          </w:p>
        </w:tc>
      </w:tr>
      <w:tr w:rsidR="001837A7" w:rsidRPr="001837A7" w14:paraId="38F80C9D"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75EA4B4"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2018/20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4E1498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7.41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1CFC751"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29.88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B1E5C7F"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62.7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6CF4788" w14:textId="77777777" w:rsidR="001837A7" w:rsidRPr="00B6169A" w:rsidRDefault="001837A7" w:rsidP="001837A7">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37.3 </w:t>
            </w:r>
          </w:p>
        </w:tc>
      </w:tr>
      <w:tr w:rsidR="00690D23" w:rsidRPr="001837A7" w14:paraId="168EFA74"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AAC87F3" w14:textId="5455016E" w:rsidR="00690D23" w:rsidRPr="00B6169A" w:rsidRDefault="00690D23" w:rsidP="00690D23">
            <w:pPr>
              <w:autoSpaceDE w:val="0"/>
              <w:autoSpaceDN w:val="0"/>
              <w:adjustRightInd w:val="0"/>
              <w:spacing w:after="0"/>
              <w:rPr>
                <w:rFonts w:asciiTheme="minorHAnsi" w:eastAsia="Times New Roman" w:hAnsiTheme="minorHAnsi" w:cs="Times New Roman"/>
                <w:color w:val="auto"/>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2019/21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7E82CA6" w14:textId="41C5634F"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5.73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105BF0F" w14:textId="01C67401"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29.57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47F8BB9" w14:textId="7E65FB29"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64.7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C2019EB" w14:textId="77E567A0"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35.3 </w:t>
            </w:r>
          </w:p>
        </w:tc>
      </w:tr>
      <w:tr w:rsidR="00690D23" w:rsidRPr="001837A7" w14:paraId="7DDB204F"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0450D961" w14:textId="05084EDF" w:rsidR="00690D23" w:rsidRPr="00B6169A" w:rsidRDefault="00690D23" w:rsidP="00690D23">
            <w:pPr>
              <w:autoSpaceDE w:val="0"/>
              <w:autoSpaceDN w:val="0"/>
              <w:adjustRightInd w:val="0"/>
              <w:spacing w:after="0"/>
              <w:rPr>
                <w:rFonts w:asciiTheme="minorHAnsi" w:eastAsia="Times New Roman" w:hAnsiTheme="minorHAnsi" w:cs="Times New Roman"/>
                <w:color w:val="auto"/>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2020/22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CB00427" w14:textId="0D3128E4"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4.51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79C228F" w14:textId="526152A2"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28.19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BE6B259" w14:textId="44746905"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67.3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1C54D77A" w14:textId="6DFFF4C8"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32.7 </w:t>
            </w:r>
          </w:p>
        </w:tc>
      </w:tr>
      <w:tr w:rsidR="00690D23" w:rsidRPr="001837A7" w14:paraId="00418608"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304F076" w14:textId="5E62B241" w:rsidR="00690D23" w:rsidRPr="00B6169A" w:rsidRDefault="00690D23" w:rsidP="00690D23">
            <w:pPr>
              <w:autoSpaceDE w:val="0"/>
              <w:autoSpaceDN w:val="0"/>
              <w:adjustRightInd w:val="0"/>
              <w:spacing w:after="0"/>
              <w:rPr>
                <w:rFonts w:asciiTheme="minorHAnsi" w:eastAsia="Times New Roman" w:hAnsiTheme="minorHAnsi" w:cs="Times New Roman"/>
                <w:color w:val="auto"/>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2021/23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F89DBC6" w14:textId="330AF838"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3.39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76C10CE6" w14:textId="51640AFB"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27.77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718C8D1" w14:textId="29EE51EA"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68.8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3CDCDE1B" w14:textId="3EAF67FC"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31.2 </w:t>
            </w:r>
          </w:p>
        </w:tc>
      </w:tr>
      <w:tr w:rsidR="00690D23" w:rsidRPr="001837A7" w14:paraId="0867CEBC" w14:textId="77777777" w:rsidTr="00BD2D70">
        <w:trPr>
          <w:trHeight w:val="153"/>
          <w:jc w:val="center"/>
        </w:trPr>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BEA1668" w14:textId="1BC31110" w:rsidR="00690D23" w:rsidRPr="00B6169A" w:rsidRDefault="00690D23" w:rsidP="00690D23">
            <w:pPr>
              <w:autoSpaceDE w:val="0"/>
              <w:autoSpaceDN w:val="0"/>
              <w:adjustRightInd w:val="0"/>
              <w:spacing w:after="0"/>
              <w:rPr>
                <w:rFonts w:asciiTheme="minorHAnsi" w:eastAsia="Times New Roman" w:hAnsiTheme="minorHAnsi" w:cs="Times New Roman"/>
                <w:color w:val="auto"/>
                <w:szCs w:val="18"/>
                <w:lang w:eastAsia="en-GB"/>
              </w:rPr>
            </w:pPr>
            <w:r w:rsidRPr="00B6169A">
              <w:rPr>
                <w:rFonts w:asciiTheme="minorHAnsi" w:eastAsia="Times New Roman" w:hAnsiTheme="minorHAnsi" w:cs="Times New Roman"/>
                <w:color w:val="auto"/>
                <w:szCs w:val="18"/>
                <w:lang w:eastAsia="en-GB"/>
              </w:rPr>
              <w:t xml:space="preserve"> </w:t>
            </w:r>
            <w:r w:rsidRPr="00B6169A">
              <w:rPr>
                <w:rFonts w:asciiTheme="minorHAnsi" w:eastAsia="Times New Roman" w:hAnsiTheme="minorHAnsi" w:cs="Calibri"/>
                <w:color w:val="000000"/>
                <w:szCs w:val="18"/>
                <w:lang w:eastAsia="en-GB"/>
              </w:rPr>
              <w:t xml:space="preserve">2022/24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4E6A6F7E" w14:textId="585139F0"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4.41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64441B33" w14:textId="07EF1054"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28.77 </w:t>
            </w:r>
          </w:p>
        </w:tc>
        <w:tc>
          <w:tcPr>
            <w:tcW w:w="92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3D458FB" w14:textId="07AB92FB"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66.8 </w:t>
            </w:r>
          </w:p>
        </w:tc>
        <w:tc>
          <w:tcPr>
            <w:tcW w:w="92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BEDEE" w:themeFill="accent4" w:themeFillTint="33"/>
          </w:tcPr>
          <w:p w14:paraId="24666CC7" w14:textId="05F8DC16" w:rsidR="00690D23" w:rsidRPr="00B6169A" w:rsidRDefault="00690D23" w:rsidP="00690D23">
            <w:pPr>
              <w:autoSpaceDE w:val="0"/>
              <w:autoSpaceDN w:val="0"/>
              <w:adjustRightInd w:val="0"/>
              <w:spacing w:after="0"/>
              <w:rPr>
                <w:rFonts w:asciiTheme="minorHAnsi" w:eastAsia="Times New Roman" w:hAnsiTheme="minorHAnsi" w:cs="Calibri"/>
                <w:color w:val="000000"/>
                <w:szCs w:val="18"/>
                <w:lang w:eastAsia="en-GB"/>
              </w:rPr>
            </w:pPr>
            <w:r w:rsidRPr="00B6169A">
              <w:rPr>
                <w:rFonts w:asciiTheme="minorHAnsi" w:eastAsia="Times New Roman" w:hAnsiTheme="minorHAnsi" w:cs="Calibri"/>
                <w:color w:val="000000"/>
                <w:szCs w:val="18"/>
                <w:lang w:eastAsia="en-GB"/>
              </w:rPr>
              <w:t xml:space="preserve"> </w:t>
            </w:r>
            <w:r w:rsidRPr="00B6169A">
              <w:rPr>
                <w:rFonts w:asciiTheme="minorHAnsi" w:eastAsia="Times New Roman" w:hAnsiTheme="minorHAnsi" w:cs="Calibri"/>
                <w:b/>
                <w:bCs/>
                <w:color w:val="000000"/>
                <w:szCs w:val="18"/>
                <w:lang w:eastAsia="en-GB"/>
              </w:rPr>
              <w:t xml:space="preserve">33.2 </w:t>
            </w:r>
          </w:p>
        </w:tc>
      </w:tr>
    </w:tbl>
    <w:p w14:paraId="6E56CEEC" w14:textId="77777777" w:rsidR="001837A7" w:rsidRDefault="001837A7" w:rsidP="00283529">
      <w:pPr>
        <w:pStyle w:val="BodyText"/>
      </w:pPr>
    </w:p>
    <w:p w14:paraId="7ABA2CAD" w14:textId="77777777" w:rsidR="001837A7" w:rsidRDefault="001837A7" w:rsidP="00283529">
      <w:pPr>
        <w:pStyle w:val="BodyText"/>
      </w:pPr>
    </w:p>
    <w:p w14:paraId="4B0A34D8" w14:textId="77777777" w:rsidR="001837A7" w:rsidRDefault="001837A7" w:rsidP="00283529">
      <w:pPr>
        <w:pStyle w:val="BodyText"/>
      </w:pPr>
    </w:p>
    <w:p w14:paraId="743A6630" w14:textId="77777777" w:rsidR="001837A7" w:rsidRDefault="001837A7" w:rsidP="00283529">
      <w:pPr>
        <w:pStyle w:val="BodyText"/>
      </w:pPr>
    </w:p>
    <w:p w14:paraId="5B3338A0" w14:textId="77777777" w:rsidR="001837A7" w:rsidRDefault="001837A7" w:rsidP="00283529">
      <w:pPr>
        <w:pStyle w:val="BodyText"/>
      </w:pPr>
    </w:p>
    <w:p w14:paraId="75484EF7" w14:textId="77777777" w:rsidR="001837A7" w:rsidRDefault="001837A7" w:rsidP="00283529">
      <w:pPr>
        <w:pStyle w:val="BodyText"/>
      </w:pPr>
    </w:p>
    <w:p w14:paraId="7EF9EB37" w14:textId="77777777" w:rsidR="001837A7" w:rsidRDefault="001837A7" w:rsidP="00283529">
      <w:pPr>
        <w:pStyle w:val="BodyText"/>
      </w:pPr>
    </w:p>
    <w:p w14:paraId="79C138E2" w14:textId="283C8308" w:rsidR="001837A7" w:rsidRDefault="001837A7" w:rsidP="001837A7">
      <w:pPr>
        <w:pStyle w:val="BodyText"/>
      </w:pPr>
    </w:p>
    <w:p w14:paraId="6763F9F0" w14:textId="200AEEBF" w:rsidR="001837A7" w:rsidRDefault="001837A7" w:rsidP="00D52D2A">
      <w:pPr>
        <w:pStyle w:val="BodyText"/>
        <w:ind w:left="0"/>
      </w:pPr>
    </w:p>
    <w:p w14:paraId="77FBEEA4" w14:textId="7240E113" w:rsidR="009C5544" w:rsidRPr="00AB0AC2" w:rsidRDefault="00514E1E" w:rsidP="009C5544">
      <w:pPr>
        <w:pStyle w:val="Heading2"/>
      </w:pPr>
      <w:r>
        <w:lastRenderedPageBreak/>
        <w:t>Fleet</w:t>
      </w:r>
    </w:p>
    <w:p w14:paraId="384638F8" w14:textId="3C2E3848" w:rsidR="00146E96" w:rsidRDefault="00146E96" w:rsidP="00146E96">
      <w:pPr>
        <w:pStyle w:val="BodyText"/>
      </w:pPr>
      <w:r>
        <w:t xml:space="preserve">The Council approved a comprehensive Vehicle, Plant &amp; Equipment Strategy in 2009 to provide the Council with an efficient, flexible method of procuring and operating fleet items that reflects good fleet management practice plus a cyclical replacement of fleet assets. </w:t>
      </w:r>
      <w:r w:rsidR="00A81E7C" w:rsidRPr="00A81E7C">
        <w:t>The purpose of the Vehicle AMP is to provide the Council with an efficient, flexible method of procuring and operating fleet items that reflects good fleet management practice plus a cyclical replacement of fleet assets over a 7</w:t>
      </w:r>
      <w:r w:rsidR="00A81E7C">
        <w:t>-</w:t>
      </w:r>
      <w:r w:rsidR="00A81E7C" w:rsidRPr="00A81E7C">
        <w:t xml:space="preserve">year cycle taking advantage of public sector collaborative procurement frameworks. A review of the replacement policy </w:t>
      </w:r>
      <w:r w:rsidR="00A81E7C">
        <w:t>w</w:t>
      </w:r>
      <w:r w:rsidR="00A81E7C" w:rsidRPr="00A81E7C">
        <w:t xml:space="preserve">as undertaken </w:t>
      </w:r>
      <w:r w:rsidR="00A81E7C">
        <w:t xml:space="preserve">in summer 2023 </w:t>
      </w:r>
      <w:r w:rsidR="00A81E7C" w:rsidRPr="00A81E7C">
        <w:t>to reflect the budgetary position taking cognisance of the increased costs of vehicles, and requirement to move towards Ultra Low Emission Vehicles (ULEVs)</w:t>
      </w:r>
      <w:r>
        <w:t xml:space="preserve">. </w:t>
      </w:r>
    </w:p>
    <w:p w14:paraId="3883E345" w14:textId="22E2B543" w:rsidR="00146E96" w:rsidRDefault="00146E96" w:rsidP="00146E96">
      <w:pPr>
        <w:pStyle w:val="BodyText"/>
      </w:pPr>
      <w:r>
        <w:t xml:space="preserve">In </w:t>
      </w:r>
      <w:r w:rsidR="00F0308F" w:rsidRPr="00F0308F">
        <w:t>addition, the Vehicle AMP has led to the introduction of a dedicated Fleet Management System and Fleet Tracking System. Without a fleet asset management plan the Council would experience a return to inefficient practices including increased fleet downtime, an increase in expensive ‘spot’ hire vehicles, a requirement to increase workshop staff levels and an increase in both material and sub-contractor costs. Looking to the future the Vehicle AMP will continue taking advantage of the latest technological advances both in terms of vehicle and management/telematics systems driving forward efficiencies within the fleet asset management plan</w:t>
      </w:r>
      <w:r>
        <w:t xml:space="preserve">. </w:t>
      </w:r>
    </w:p>
    <w:p w14:paraId="7FDD3592" w14:textId="0CF225D1" w:rsidR="00146E96" w:rsidRDefault="007125C7" w:rsidP="00146E96">
      <w:pPr>
        <w:pStyle w:val="BodyText"/>
      </w:pPr>
      <w:r w:rsidRPr="007125C7">
        <w:t>The Scottish Government Programme for 2019-20 states that ‘public sector fleets should remove petrol and diesel cars by 2025, procure zero emission light commercial vehicles from 2025 onwards and procure zero emission vehicles for all vehicle types (including HGVs) from 2030 onwards’. Scottish Government have categorised light commercial vehicles as commercial vehicles up to 3500kg gross vehicle mass (GVM)</w:t>
      </w:r>
    </w:p>
    <w:p w14:paraId="614B550C" w14:textId="718A835C" w:rsidR="00146E96" w:rsidRDefault="007125C7" w:rsidP="00146E96">
      <w:pPr>
        <w:pStyle w:val="BodyText"/>
      </w:pPr>
      <w:r w:rsidRPr="007125C7">
        <w:t xml:space="preserve">The Council have previously taken advantage of bridge funding from Transport Scotland and technological advances allowing greater battery range has allowed a significant increase in the number of ULEVs on the Council fleet. In 2017/18 there were 4 pure electric ULEVs accounting for 8% of fleet vehicles within the car/people carrier and light van categories, increasing to 38 (76%) by 2020/21. Funding from the Councils Net Zero </w:t>
      </w:r>
      <w:r>
        <w:t xml:space="preserve">Capital allocation </w:t>
      </w:r>
      <w:r w:rsidRPr="007125C7">
        <w:t>has contributed to the replacement of four ULEVs</w:t>
      </w:r>
      <w:r>
        <w:t>.</w:t>
      </w:r>
      <w:r w:rsidRPr="007125C7">
        <w:t xml:space="preserve"> The Council now have 34% of its fleet under 3500kg GVM as ULEV with plans to have 100% ULEV within this category by 2030, where operationally viable. The Council will require to identify funding for replacement ULEVs to continue to comply with the Scottish Government target of ending the sale of new petrol or diesel vehicles</w:t>
      </w:r>
      <w:r w:rsidR="00146E96">
        <w:t>.</w:t>
      </w:r>
    </w:p>
    <w:p w14:paraId="42A96160" w14:textId="6F3B6DDC" w:rsidR="007125C7" w:rsidRDefault="007125C7" w:rsidP="00146E96">
      <w:pPr>
        <w:pStyle w:val="BodyText"/>
      </w:pPr>
      <w:r w:rsidRPr="007125C7">
        <w:t xml:space="preserve">Currently the Council is on target to meet the first of the Scottish Government’s targets ‘remove petrol and diesel cars by 2025’ with the exception of one car. This vehicle covers a relatively low mileage and has high ULEV replacements costs, it is therefore not financially prudent to replace it at this time. The second target of ‘procure zero emission light commercial vehicles from 2025 onwards’ is being progressed with all fleet within this category being replaced with ULEV equivalents where an available ULEV meets operational requirements. Funding from the Councils Net Zero </w:t>
      </w:r>
      <w:r>
        <w:t xml:space="preserve">Capital allocation </w:t>
      </w:r>
      <w:r w:rsidRPr="007125C7">
        <w:t>is contributing to this transition</w:t>
      </w:r>
      <w:r>
        <w:t>.</w:t>
      </w:r>
    </w:p>
    <w:p w14:paraId="38D62670" w14:textId="7F6533CC" w:rsidR="00146E96" w:rsidRDefault="007125C7" w:rsidP="007125C7">
      <w:pPr>
        <w:pStyle w:val="BodyText"/>
      </w:pPr>
      <w:r w:rsidRPr="007125C7">
        <w:t>As technology develops consideration will be given to the introduction of ULEVs into the commercial vehicle fleet above 3500kg GVM. Continued funding of the Vehicle, Plant &amp; Equipment Strategy in tandem with the Net Zero Strategy will allow the Council to take advantage of these new technologies. In conjunction with this, consideration will require to be given to significant infrastructure requirements given the power requirements to charge large commercial vehicles, particularly when being charged at the same time in one central hub such as the Pottery Street depot. Alternatively, a different type of fuel such as Hydrogen may require to be bunkered</w:t>
      </w:r>
      <w:r w:rsidR="00146E96">
        <w:t>.</w:t>
      </w:r>
    </w:p>
    <w:p w14:paraId="524D4801" w14:textId="77777777" w:rsidR="00D52D2A" w:rsidRDefault="00D52D2A" w:rsidP="007125C7">
      <w:pPr>
        <w:pStyle w:val="BodyText"/>
      </w:pPr>
    </w:p>
    <w:p w14:paraId="750B9D94" w14:textId="767FA2DE" w:rsidR="00514E1E" w:rsidRPr="00AB0AC2" w:rsidRDefault="00514E1E" w:rsidP="00514E1E">
      <w:pPr>
        <w:pStyle w:val="Heading2"/>
      </w:pPr>
      <w:r>
        <w:lastRenderedPageBreak/>
        <w:t>Information and Communication Technology</w:t>
      </w:r>
    </w:p>
    <w:p w14:paraId="1A64C24F" w14:textId="3F306EC0" w:rsidR="0002222C" w:rsidRDefault="0002222C" w:rsidP="0002222C">
      <w:pPr>
        <w:pStyle w:val="BodyText"/>
      </w:pPr>
      <w:r>
        <w:t>The Council has invested significantly in its ICT &amp; Network Infrastructure and has a well-established rolling refresh programme for Desktops and Laptops. The Council is refreshing its Digital Strategy to drive the direction of the ICT Asset Management Strategy and reflects the changing landscape of the way technology is delivered and consumed.</w:t>
      </w:r>
    </w:p>
    <w:p w14:paraId="267F0347" w14:textId="2F01190C" w:rsidR="0002222C" w:rsidRDefault="0002222C" w:rsidP="0002222C">
      <w:pPr>
        <w:pStyle w:val="BodyText"/>
      </w:pPr>
      <w:r>
        <w:t>As the market around Cloud based Services continues to develop, it is recognised that there will be a change in the way that ICT Assets are managed and replaced. There is likely to be a continued shift from physical infrastructure to more hosted and virtual services. A challenge for the Council will be the transitions from capital spending on physical hardware, to the revenue-based models of Software and Systems as services. The Council is completing a programme of decommissioning unused areas of its existing Data Centre to reflect the changes in technology and reduction in physical infrastructure.</w:t>
      </w:r>
    </w:p>
    <w:p w14:paraId="71AD8592" w14:textId="77777777" w:rsidR="0002222C" w:rsidRDefault="0002222C" w:rsidP="0002222C">
      <w:pPr>
        <w:pStyle w:val="BodyText"/>
      </w:pPr>
      <w:r>
        <w:t>The importance of network reliability, capacity and security will require careful management to ensure the core network equipment and services remain supported and the asset management strategy reflects that requirement.</w:t>
      </w:r>
    </w:p>
    <w:p w14:paraId="28EA1685" w14:textId="77777777" w:rsidR="0002222C" w:rsidRDefault="0002222C" w:rsidP="0002222C">
      <w:pPr>
        <w:pStyle w:val="BodyText"/>
      </w:pPr>
      <w:r>
        <w:t>The introduction of Microsoft 365 is changing the way that staff use technologies. A far wider range of services are now available on mobile devices. The Council undertook to replace the majority of desktop devices with laptops following lessons learned during the COVID 19 Pandemic. A flexible and mobile workforce, requiring access to home and remote working necessitated a shift from the traditional desktop model. All equipment is refreshed on 4/5 year lifecycle and although this is challenging in terms of support and maintenance, the Refresh Programme is grounded in the availability of financial resources.</w:t>
      </w:r>
    </w:p>
    <w:p w14:paraId="376EB61F" w14:textId="0D89E244" w:rsidR="0002222C" w:rsidRDefault="0002222C" w:rsidP="0002222C">
      <w:pPr>
        <w:pStyle w:val="BodyText"/>
      </w:pPr>
      <w:r>
        <w:t>In schools it is recognised that the way children and young people learn is changing significantly and it is imperative that way ICT is delivered changes to reflect that new approach. Education Services implemented a Digital Strategy</w:t>
      </w:r>
      <w:r w:rsidR="00616088" w:rsidRPr="00CB58C5">
        <w:rPr>
          <w:rStyle w:val="FootnoteReference"/>
        </w:rPr>
        <w:footnoteReference w:id="17"/>
      </w:r>
      <w:r>
        <w:t xml:space="preserve"> for Schools and has altered the balance between classroom desktop PCs and laptops and tablets. In Primary schools there is a shift away from tradition ICT Suites and the use of laptops sets and charging trolleys are now the preferred approach, allowing equipment to be brought to the student rather than the pupils leaving their classrooms.</w:t>
      </w:r>
    </w:p>
    <w:p w14:paraId="2D4D99E1" w14:textId="77777777" w:rsidR="0002222C" w:rsidRDefault="0002222C" w:rsidP="0002222C">
      <w:pPr>
        <w:pStyle w:val="BodyText"/>
      </w:pPr>
      <w:r>
        <w:t>Network infrastructure has been reviewed and revised to support an expansion of the BYOD Network and wireless technologies are now a key focus of the school estate.</w:t>
      </w:r>
    </w:p>
    <w:p w14:paraId="151525AE" w14:textId="77777777" w:rsidR="0002222C" w:rsidRDefault="0002222C" w:rsidP="0002222C">
      <w:pPr>
        <w:pStyle w:val="BodyText"/>
      </w:pPr>
      <w:r>
        <w:t>ICT provides extensive support to the schools network and equipment within. However it is clear that to carry forward the curricular objectives of Educational Services while maintaining a compliant and supportable ICT infrastructure, a specialised approach has to be undertaken and innovative solutions may need to be devised.</w:t>
      </w:r>
    </w:p>
    <w:p w14:paraId="67534EFD" w14:textId="5A695F2F" w:rsidR="0002222C" w:rsidRDefault="00616088" w:rsidP="0002222C">
      <w:pPr>
        <w:pStyle w:val="BodyText"/>
      </w:pPr>
      <w:r>
        <w:t>Active Panels</w:t>
      </w:r>
      <w:r w:rsidR="0002222C">
        <w:t xml:space="preserve"> and screens remain a key tool for learning and teaching and a </w:t>
      </w:r>
      <w:r>
        <w:t xml:space="preserve">7-year </w:t>
      </w:r>
      <w:r w:rsidR="0002222C">
        <w:t xml:space="preserve">refresh strategy </w:t>
      </w:r>
      <w:r>
        <w:t xml:space="preserve">has been established </w:t>
      </w:r>
      <w:r w:rsidR="0002222C">
        <w:t xml:space="preserve">to replace equipment across the </w:t>
      </w:r>
      <w:r w:rsidR="00C42924">
        <w:t>Learning E</w:t>
      </w:r>
      <w:r w:rsidR="0002222C">
        <w:t>state. Infrastructure changes to allow the boards to be attached directly to the internet is being trialled and will be rolled out as appropriate across the estate.</w:t>
      </w:r>
    </w:p>
    <w:p w14:paraId="4EFBDD2A" w14:textId="77777777" w:rsidR="00616088" w:rsidRDefault="00616088" w:rsidP="0002222C">
      <w:pPr>
        <w:pStyle w:val="BodyText"/>
      </w:pPr>
    </w:p>
    <w:p w14:paraId="080DAD4C" w14:textId="77777777" w:rsidR="00616088" w:rsidRDefault="00616088" w:rsidP="0002222C">
      <w:pPr>
        <w:pStyle w:val="BodyText"/>
      </w:pPr>
    </w:p>
    <w:p w14:paraId="020A2465" w14:textId="77777777" w:rsidR="0002222C" w:rsidRDefault="0002222C" w:rsidP="0002222C">
      <w:pPr>
        <w:pStyle w:val="BodyText"/>
      </w:pPr>
      <w:r>
        <w:lastRenderedPageBreak/>
        <w:t>The Council also recognises its responsibility to its citizens to provide safe, secure access to online services and is implementing a number of projects to enable and enhance public access across the area. Improved access in libraries and museums, Wi-Fi and internet access in community centres are projects that require investment to implement, expand and maintain.</w:t>
      </w:r>
    </w:p>
    <w:p w14:paraId="03C7884B" w14:textId="5A22DA0E" w:rsidR="00514E1E" w:rsidRDefault="0002222C" w:rsidP="0002222C">
      <w:pPr>
        <w:pStyle w:val="BodyText"/>
      </w:pPr>
      <w:r>
        <w:t>The Council is also working with partners to examine the viability of Internet of Things (IoT) technologies to enhance the services we provide, automate monitoring of buildings and systems</w:t>
      </w:r>
      <w:r w:rsidR="00146E96">
        <w:t>.</w:t>
      </w:r>
    </w:p>
    <w:p w14:paraId="74CF874D" w14:textId="3CF4CDD3" w:rsidR="00616088" w:rsidRDefault="00616088" w:rsidP="00616088">
      <w:pPr>
        <w:pStyle w:val="BodyText"/>
      </w:pPr>
      <w:r>
        <w:t>The ICT Asset Management Programme intends to provide a modern ICT infrastructure providing the most appropriate level of equipment, at best value to the Council across all of Inverclyde Council’s Offices and Schools. It aims to allow staff to undertake their roles and responsibilities in as efficient and flexible a manner as possible and provide teachers and pupils with modern and sustainable learning technologies. The ICT AMP has an annual budget of £0.534m, a reduction from £0.594k due to budget savings.</w:t>
      </w:r>
    </w:p>
    <w:p w14:paraId="3CEABE8B" w14:textId="6B48A8BA" w:rsidR="00616088" w:rsidRDefault="00616088" w:rsidP="00616088">
      <w:pPr>
        <w:pStyle w:val="BodyText"/>
      </w:pPr>
      <w:r>
        <w:t>In line with the best practices for ICT Asset Management, the physical lifecycle of an ICT Asset has two distinct phases:</w:t>
      </w:r>
    </w:p>
    <w:p w14:paraId="0EEE4190" w14:textId="77777777" w:rsidR="00616088" w:rsidRDefault="00616088" w:rsidP="00616088">
      <w:pPr>
        <w:pStyle w:val="BodyText"/>
        <w:numPr>
          <w:ilvl w:val="0"/>
          <w:numId w:val="17"/>
        </w:numPr>
      </w:pPr>
      <w:r>
        <w:t>Planning &amp; Procurement</w:t>
      </w:r>
    </w:p>
    <w:p w14:paraId="524E0543" w14:textId="11D80D06" w:rsidR="00616088" w:rsidRDefault="00616088" w:rsidP="00616088">
      <w:pPr>
        <w:pStyle w:val="BodyText"/>
        <w:numPr>
          <w:ilvl w:val="0"/>
          <w:numId w:val="17"/>
        </w:numPr>
      </w:pPr>
      <w:r>
        <w:t>Lifecycle &amp; Disposal</w:t>
      </w:r>
    </w:p>
    <w:p w14:paraId="4E855C7C" w14:textId="1C588039" w:rsidR="00616088" w:rsidRDefault="00616088" w:rsidP="00616088">
      <w:pPr>
        <w:pStyle w:val="BodyText"/>
      </w:pPr>
      <w:r>
        <w:t xml:space="preserve">The Council has adopted a policy of deploying laptops as the default device for officers and students unless there is a technological or configuration requirement that would require a desktop. ICT had implemented a four-year desktop and laptop refresh strategy and in 2023/24 completed the School device refresh programme, following the corporate refresh completed in 2020/21 completed across the corporate estate to allow for the introduction of Hybrid working.  </w:t>
      </w:r>
    </w:p>
    <w:p w14:paraId="5D83DFAC" w14:textId="4AB063D2" w:rsidR="00616088" w:rsidRDefault="00616088" w:rsidP="00616088">
      <w:pPr>
        <w:pStyle w:val="BodyText"/>
      </w:pPr>
      <w:r>
        <w:t>In 2023/24 phase 2 of the refresh programme refreshed the remaining ICT/Business Studies suites in each high school. Phase 3 replaced devices in administration, libraries and other classroom environments. Phase 4 replaced primary school classroom and computer suite desktop PCs with laptops and trollies, a further 450 devices are scheduled to be purchased and deployed.</w:t>
      </w:r>
    </w:p>
    <w:p w14:paraId="31F637E0" w14:textId="3246108F" w:rsidR="00616088" w:rsidRDefault="00616088" w:rsidP="00616088">
      <w:pPr>
        <w:pStyle w:val="BodyText"/>
      </w:pPr>
      <w:r>
        <w:t>Corporate devices are scheduled for a refresh in late 2024. The projected budget savings will reduce the number of devices to be replaced by approximately 115 devices and extend the refresh programme beyond the current 4/5-year cycle. The total number of devices in the programme is included in the asset summary contained in Appendix 1</w:t>
      </w:r>
      <w:r w:rsidR="00C066EA">
        <w:t>.5</w:t>
      </w:r>
      <w:r>
        <w:t>.</w:t>
      </w:r>
    </w:p>
    <w:p w14:paraId="26CEE776" w14:textId="2B4C8DB8" w:rsidR="00616088" w:rsidRDefault="00616088" w:rsidP="00616088">
      <w:pPr>
        <w:pStyle w:val="BodyText"/>
      </w:pPr>
      <w:r w:rsidRPr="00616088">
        <w:t>The programme also includes provision for replacement of core ICT equipment such as network storage, servers and infrastructure and the procurement and implementation of other services to support Hybrid working such as videoconferencing equipment</w:t>
      </w:r>
      <w:r>
        <w:t>.</w:t>
      </w:r>
    </w:p>
    <w:p w14:paraId="0BC505F5" w14:textId="09DB5403" w:rsidR="006C4816" w:rsidRDefault="006C4816" w:rsidP="006C4816">
      <w:pPr>
        <w:pStyle w:val="BodyText"/>
      </w:pPr>
      <w:bookmarkStart w:id="34" w:name="_Hlk161602766"/>
      <w:r>
        <w:t xml:space="preserve"> </w:t>
      </w:r>
    </w:p>
    <w:p w14:paraId="2C111CB8" w14:textId="77777777" w:rsidR="00514E1E" w:rsidRDefault="00514E1E">
      <w:pPr>
        <w:spacing w:after="200" w:line="276" w:lineRule="auto"/>
        <w:rPr>
          <w:rFonts w:eastAsiaTheme="majorEastAsia" w:cstheme="majorBidi"/>
          <w:b/>
          <w:bCs/>
          <w:color w:val="1E4479" w:themeColor="accent1"/>
          <w:sz w:val="22"/>
          <w:szCs w:val="28"/>
        </w:rPr>
      </w:pPr>
      <w:bookmarkStart w:id="35" w:name="_Toc152660767"/>
      <w:bookmarkStart w:id="36" w:name="_Toc157688353"/>
      <w:bookmarkEnd w:id="34"/>
      <w:r>
        <w:br w:type="page"/>
      </w:r>
    </w:p>
    <w:p w14:paraId="76543DB2" w14:textId="645A8ED1" w:rsidR="00CB542A" w:rsidRDefault="009D393F" w:rsidP="00112D5E">
      <w:pPr>
        <w:pStyle w:val="Heading1"/>
      </w:pPr>
      <w:r>
        <w:lastRenderedPageBreak/>
        <w:t>Strategic Drivers</w:t>
      </w:r>
      <w:bookmarkEnd w:id="35"/>
      <w:bookmarkEnd w:id="36"/>
    </w:p>
    <w:p w14:paraId="5B47CA08" w14:textId="3E5AF5FB" w:rsidR="009D393F" w:rsidRDefault="00A96F7A" w:rsidP="009D393F">
      <w:pPr>
        <w:pStyle w:val="BodyText"/>
      </w:pPr>
      <w:r>
        <w:t>A range of strategic factors are considered i</w:t>
      </w:r>
      <w:r w:rsidR="009D393F">
        <w:t xml:space="preserve">n preparing, reviewing and updating the council’s Corporate Asset Management </w:t>
      </w:r>
      <w:r>
        <w:t>Strategy</w:t>
      </w:r>
      <w:r w:rsidR="009D393F">
        <w:t>.  Examples include changes in council and national policies in respect of service delivery, changing demographics and new areas of legislation.</w:t>
      </w:r>
    </w:p>
    <w:p w14:paraId="6888302A" w14:textId="77777777" w:rsidR="009D393F" w:rsidRDefault="009D393F" w:rsidP="009D393F">
      <w:pPr>
        <w:pStyle w:val="BodyText"/>
      </w:pPr>
      <w:r>
        <w:t xml:space="preserve">A key area for consideration at present is the current financial challenges that face the council, its partners and local stakeholders.  This has raised issues relating to the priorities for service delivery and has also provided a focus on driving increased efficiencies in all areas of asset management.  Asset management has also been seen as a key area where savings can be identified to protect frontline services and meet council objectives. </w:t>
      </w:r>
    </w:p>
    <w:p w14:paraId="7B6DE757" w14:textId="5C74FE7C" w:rsidR="003739E4" w:rsidRDefault="009D393F" w:rsidP="009D393F">
      <w:pPr>
        <w:pStyle w:val="BodyText"/>
      </w:pPr>
      <w:r>
        <w:t xml:space="preserve">The Corporate Asset Management </w:t>
      </w:r>
      <w:r w:rsidR="00A96F7A">
        <w:t>Strategy</w:t>
      </w:r>
      <w:r>
        <w:t xml:space="preserve"> assists in the management of these changes by encouraging Resources to consider service requirements in the short, medium and long term and the likely implications for the council’s assets.</w:t>
      </w:r>
    </w:p>
    <w:p w14:paraId="45F7283F" w14:textId="77777777" w:rsidR="00F25236" w:rsidRDefault="00D71134" w:rsidP="00EC12D1">
      <w:pPr>
        <w:pStyle w:val="Heading2"/>
      </w:pPr>
      <w:bookmarkStart w:id="37" w:name="_Toc157688355"/>
      <w:bookmarkStart w:id="38" w:name="_Toc152660769"/>
      <w:bookmarkStart w:id="39" w:name="_Hlk162183184"/>
      <w:bookmarkStart w:id="40" w:name="_Hlk161777801"/>
      <w:bookmarkStart w:id="41" w:name="_Hlk161777789"/>
      <w:bookmarkStart w:id="42" w:name="_Hlk161777954"/>
      <w:bookmarkStart w:id="43" w:name="_Hlk161774572"/>
      <w:bookmarkStart w:id="44" w:name="_Hlk161774517"/>
      <w:bookmarkStart w:id="45" w:name="_Hlk162183200"/>
      <w:bookmarkStart w:id="46" w:name="_Hlk161777919"/>
      <w:bookmarkStart w:id="47" w:name="_Hlk161777842"/>
      <w:r>
        <w:t>Council Policy</w:t>
      </w:r>
      <w:r w:rsidR="00EC12D1">
        <w:t xml:space="preserve"> </w:t>
      </w:r>
    </w:p>
    <w:p w14:paraId="32CEBA58" w14:textId="2646A014" w:rsidR="00D71134" w:rsidRPr="00F25236" w:rsidRDefault="00D71134" w:rsidP="00F25236">
      <w:pPr>
        <w:pStyle w:val="Heading3"/>
        <w:numPr>
          <w:ilvl w:val="0"/>
          <w:numId w:val="0"/>
        </w:numPr>
        <w:ind w:left="794"/>
        <w:rPr>
          <w:b w:val="0"/>
          <w:bCs w:val="0"/>
        </w:rPr>
      </w:pPr>
      <w:bookmarkStart w:id="48" w:name="_Hlk162259929"/>
      <w:bookmarkStart w:id="49" w:name="_Hlk162187149"/>
      <w:r>
        <w:t>Delivering Differently</w:t>
      </w:r>
      <w:bookmarkEnd w:id="48"/>
      <w:r w:rsidR="00F25236">
        <w:t xml:space="preserve">: </w:t>
      </w:r>
      <w:r w:rsidRPr="00F25236">
        <w:rPr>
          <w:b w:val="0"/>
          <w:bCs w:val="0"/>
        </w:rPr>
        <w:t xml:space="preserve">The Delivery Differently Programme </w:t>
      </w:r>
      <w:r w:rsidR="00C36393" w:rsidRPr="00F25236">
        <w:rPr>
          <w:b w:val="0"/>
          <w:bCs w:val="0"/>
        </w:rPr>
        <w:t xml:space="preserve">was approved </w:t>
      </w:r>
      <w:r w:rsidRPr="00F25236">
        <w:rPr>
          <w:b w:val="0"/>
          <w:bCs w:val="0"/>
        </w:rPr>
        <w:t>in 2017</w:t>
      </w:r>
      <w:r w:rsidR="00C36393" w:rsidRPr="00F25236">
        <w:rPr>
          <w:b w:val="0"/>
          <w:bCs w:val="0"/>
        </w:rPr>
        <w:t xml:space="preserve"> and represents the </w:t>
      </w:r>
      <w:r w:rsidRPr="00F25236">
        <w:rPr>
          <w:b w:val="0"/>
          <w:bCs w:val="0"/>
        </w:rPr>
        <w:t>Councils key change projects</w:t>
      </w:r>
      <w:r w:rsidR="00C36393" w:rsidRPr="00F25236">
        <w:rPr>
          <w:b w:val="0"/>
          <w:bCs w:val="0"/>
        </w:rPr>
        <w:t>.</w:t>
      </w:r>
      <w:r w:rsidRPr="00F25236">
        <w:rPr>
          <w:b w:val="0"/>
          <w:bCs w:val="0"/>
        </w:rPr>
        <w:t xml:space="preserve"> </w:t>
      </w:r>
      <w:r w:rsidR="00C36393" w:rsidRPr="00F25236">
        <w:rPr>
          <w:b w:val="0"/>
          <w:bCs w:val="0"/>
        </w:rPr>
        <w:t xml:space="preserve">The 3 </w:t>
      </w:r>
      <w:bookmarkEnd w:id="49"/>
      <w:r w:rsidR="00C36393" w:rsidRPr="00F25236">
        <w:rPr>
          <w:b w:val="0"/>
          <w:bCs w:val="0"/>
        </w:rPr>
        <w:t>Directorate Change Boards meet monthly to monitor progress in the delivery of savings and projects which involve approved or potential changes in service delivery. Every 2 months the CMT reviews progress using a RAG status approach. The areas where there is the greatest potential change in service delivery are collated into a Delivering Differently programme which is reported annually to the Policy &amp; Resources Committee. The projects within this programme form part of the continuous challenge and review of the Corporate Asset Management Strategy.</w:t>
      </w:r>
    </w:p>
    <w:p w14:paraId="4811EE42" w14:textId="370685EB" w:rsidR="00D71134" w:rsidRPr="00F25236" w:rsidRDefault="00C36393" w:rsidP="00F25236">
      <w:pPr>
        <w:pStyle w:val="Heading3"/>
        <w:numPr>
          <w:ilvl w:val="0"/>
          <w:numId w:val="0"/>
        </w:numPr>
        <w:ind w:left="794"/>
        <w:rPr>
          <w:b w:val="0"/>
          <w:bCs w:val="0"/>
        </w:rPr>
      </w:pPr>
      <w:bookmarkStart w:id="50" w:name="_Hlk162185519"/>
      <w:r>
        <w:t>Procurement Strategy</w:t>
      </w:r>
      <w:r w:rsidR="00F25236">
        <w:t xml:space="preserve">: </w:t>
      </w:r>
      <w:r w:rsidRPr="00F25236">
        <w:rPr>
          <w:b w:val="0"/>
          <w:bCs w:val="0"/>
        </w:rPr>
        <w:t>Inverclyde Council’s Procurement Strategy</w:t>
      </w:r>
      <w:r w:rsidR="00911796" w:rsidRPr="00F25236">
        <w:rPr>
          <w:rStyle w:val="FootnoteReference"/>
          <w:b w:val="0"/>
          <w:bCs w:val="0"/>
        </w:rPr>
        <w:footnoteReference w:id="18"/>
      </w:r>
      <w:r w:rsidR="00911796" w:rsidRPr="00F25236">
        <w:rPr>
          <w:b w:val="0"/>
          <w:bCs w:val="0"/>
        </w:rPr>
        <w:t xml:space="preserve"> </w:t>
      </w:r>
      <w:r w:rsidRPr="00F25236">
        <w:rPr>
          <w:b w:val="0"/>
          <w:bCs w:val="0"/>
        </w:rPr>
        <w:t xml:space="preserve">has allowed the Council to modernise its approach to procurement and achieve substantial benefits </w:t>
      </w:r>
      <w:bookmarkEnd w:id="50"/>
      <w:r w:rsidRPr="00F25236">
        <w:rPr>
          <w:b w:val="0"/>
          <w:bCs w:val="0"/>
        </w:rPr>
        <w:t>in the cost and quality of the goods and services purchased. It has also embedded the policy of maximising the achievement of a range of Community Benefits through its Social Value Policy. The Procurement strategy is aligned with the achievement of Council strategic priorities and supports the investment activity through the various strands of the Corporate Asset Management Strategy.</w:t>
      </w:r>
    </w:p>
    <w:p w14:paraId="7DFFE779" w14:textId="5E0AD21D" w:rsidR="00911796" w:rsidRPr="00F25236" w:rsidRDefault="00911796" w:rsidP="00F25236">
      <w:pPr>
        <w:pStyle w:val="Heading3"/>
        <w:numPr>
          <w:ilvl w:val="0"/>
          <w:numId w:val="0"/>
        </w:numPr>
        <w:ind w:left="794"/>
        <w:rPr>
          <w:b w:val="0"/>
          <w:bCs w:val="0"/>
        </w:rPr>
      </w:pPr>
      <w:bookmarkStart w:id="51" w:name="_Hlk162188042"/>
      <w:r>
        <w:t>Local Development Plan</w:t>
      </w:r>
      <w:r w:rsidR="00F25236">
        <w:t xml:space="preserve">: </w:t>
      </w:r>
      <w:r w:rsidRPr="00F25236">
        <w:rPr>
          <w:b w:val="0"/>
          <w:bCs w:val="0"/>
        </w:rPr>
        <w:t xml:space="preserve">Inverclyde Council </w:t>
      </w:r>
      <w:bookmarkEnd w:id="51"/>
      <w:r w:rsidRPr="00F25236">
        <w:rPr>
          <w:b w:val="0"/>
          <w:bCs w:val="0"/>
        </w:rPr>
        <w:t>is currently preparing a new Local Development Plan (LDP) to replace the existing 2019 version. That new plan will guide future development within Inverclyde for a ten-year period starting from when it is adopted, notionally in March 2026. The regular review of the Council’s Corporate Asset Management Strategy will take cognisance of the key issues that emerge from the new LDP.</w:t>
      </w:r>
    </w:p>
    <w:p w14:paraId="58B45CA7" w14:textId="286958A9" w:rsidR="00CB0C41" w:rsidRDefault="00CB0C41" w:rsidP="00F25236">
      <w:pPr>
        <w:pStyle w:val="Heading3"/>
        <w:numPr>
          <w:ilvl w:val="0"/>
          <w:numId w:val="0"/>
        </w:numPr>
        <w:ind w:left="794"/>
        <w:rPr>
          <w:b w:val="0"/>
          <w:bCs w:val="0"/>
        </w:rPr>
      </w:pPr>
      <w:r>
        <w:t>Risk Management</w:t>
      </w:r>
      <w:r w:rsidR="00F25236">
        <w:t xml:space="preserve">: </w:t>
      </w:r>
      <w:r w:rsidRPr="00F25236">
        <w:rPr>
          <w:b w:val="0"/>
          <w:bCs w:val="0"/>
        </w:rPr>
        <w:t>Inverclyde Council has developed an updated Risk Management Strategy</w:t>
      </w:r>
      <w:r w:rsidRPr="00F25236">
        <w:rPr>
          <w:rStyle w:val="FootnoteReference"/>
          <w:b w:val="0"/>
          <w:bCs w:val="0"/>
        </w:rPr>
        <w:footnoteReference w:id="19"/>
      </w:r>
      <w:r w:rsidRPr="00F25236">
        <w:rPr>
          <w:b w:val="0"/>
          <w:bCs w:val="0"/>
        </w:rPr>
        <w:t xml:space="preserve"> with the aim to deliver a consistent, effective framework and approach for managing risks across the organisational at all levels and support the delivery of the Council Plan</w:t>
      </w:r>
      <w:r w:rsidR="00440AFC" w:rsidRPr="00F25236">
        <w:rPr>
          <w:b w:val="0"/>
          <w:bCs w:val="0"/>
        </w:rPr>
        <w:t>. Risk registers have been developed at committee, directorate, service and project level. To enable a complete assessment of the overall risks across the Council, these risks have been reviewed by the Corporate Risk Management Group and a Corporate Risk Register</w:t>
      </w:r>
      <w:r w:rsidR="00440AFC" w:rsidRPr="00F25236">
        <w:rPr>
          <w:rStyle w:val="FootnoteReference"/>
          <w:b w:val="0"/>
          <w:bCs w:val="0"/>
        </w:rPr>
        <w:footnoteReference w:id="20"/>
      </w:r>
      <w:r w:rsidR="00440AFC" w:rsidRPr="00F25236">
        <w:rPr>
          <w:b w:val="0"/>
          <w:bCs w:val="0"/>
        </w:rPr>
        <w:t xml:space="preserve"> developed. The Corporate Risk Register highlights the most significant corporate risks facing the Council, and the key actions being taken by the Council in response to them.</w:t>
      </w:r>
    </w:p>
    <w:p w14:paraId="002248B5" w14:textId="77777777" w:rsidR="00F25236" w:rsidRDefault="00F25236" w:rsidP="00F25236">
      <w:pPr>
        <w:pStyle w:val="BodyText"/>
      </w:pPr>
    </w:p>
    <w:p w14:paraId="21647E40" w14:textId="77777777" w:rsidR="00F25236" w:rsidRDefault="00F25236" w:rsidP="00F25236">
      <w:pPr>
        <w:pStyle w:val="BodyText"/>
      </w:pPr>
    </w:p>
    <w:p w14:paraId="7B9486DB" w14:textId="77777777" w:rsidR="00F25236" w:rsidRDefault="00F25236" w:rsidP="00F25236">
      <w:pPr>
        <w:pStyle w:val="Heading2"/>
        <w:numPr>
          <w:ilvl w:val="0"/>
          <w:numId w:val="0"/>
        </w:numPr>
        <w:ind w:left="794"/>
      </w:pPr>
    </w:p>
    <w:p w14:paraId="6BDC565F" w14:textId="040CD6AE" w:rsidR="00911796" w:rsidRDefault="00911796" w:rsidP="00911796">
      <w:pPr>
        <w:pStyle w:val="Heading2"/>
      </w:pPr>
      <w:r>
        <w:lastRenderedPageBreak/>
        <w:t xml:space="preserve">National Policy  </w:t>
      </w:r>
    </w:p>
    <w:p w14:paraId="6C8CB2F9" w14:textId="0ADCC22B" w:rsidR="00911796" w:rsidRPr="00F25236" w:rsidRDefault="00911796" w:rsidP="00F25236">
      <w:pPr>
        <w:pStyle w:val="Heading3"/>
        <w:numPr>
          <w:ilvl w:val="0"/>
          <w:numId w:val="0"/>
        </w:numPr>
        <w:ind w:left="794"/>
        <w:rPr>
          <w:b w:val="0"/>
          <w:bCs w:val="0"/>
        </w:rPr>
      </w:pPr>
      <w:bookmarkStart w:id="52" w:name="_Hlk162187419"/>
      <w:r>
        <w:t>National Care Service</w:t>
      </w:r>
      <w:r w:rsidR="00F25236">
        <w:t xml:space="preserve">: </w:t>
      </w:r>
      <w:bookmarkEnd w:id="52"/>
      <w:r w:rsidR="005D2D75" w:rsidRPr="005D2D75">
        <w:rPr>
          <w:b w:val="0"/>
          <w:bCs w:val="0"/>
        </w:rPr>
        <w:t>National Care Service (NCS) Bill was published in June 2022 and sought the establishment of NCS, under the responsibility of Scottish Ministers.  The Bill provided for the transfer of listed social care and social work local authority function, staff and assets to Scottish Ministers or local care board</w:t>
      </w:r>
      <w:r w:rsidRPr="00F25236">
        <w:rPr>
          <w:b w:val="0"/>
          <w:bCs w:val="0"/>
        </w:rPr>
        <w:t xml:space="preserve">. </w:t>
      </w:r>
      <w:r w:rsidR="005D2D75" w:rsidRPr="005D2D75">
        <w:rPr>
          <w:b w:val="0"/>
          <w:bCs w:val="0"/>
        </w:rPr>
        <w:t>In June 2023, Cosla Leaders and Scottish Ministers reached an agreement that local authorities retain social care and social work functions, as well as retaining staff and assets</w:t>
      </w:r>
      <w:r w:rsidR="005D2D75">
        <w:rPr>
          <w:b w:val="0"/>
          <w:bCs w:val="0"/>
        </w:rPr>
        <w:t>.</w:t>
      </w:r>
      <w:r w:rsidR="005D2D75" w:rsidRPr="005D2D75">
        <w:rPr>
          <w:b w:val="0"/>
          <w:bCs w:val="0"/>
        </w:rPr>
        <w:t xml:space="preserve"> </w:t>
      </w:r>
      <w:r w:rsidR="005D2D75">
        <w:rPr>
          <w:b w:val="0"/>
          <w:bCs w:val="0"/>
        </w:rPr>
        <w:t>With the position now clarified there is a need to review the asset base in this area of activity to establish a longer term strategy</w:t>
      </w:r>
      <w:r w:rsidRPr="00F25236">
        <w:rPr>
          <w:b w:val="0"/>
          <w:bCs w:val="0"/>
        </w:rPr>
        <w:t>.</w:t>
      </w:r>
    </w:p>
    <w:p w14:paraId="09382171" w14:textId="5F1CDE3B" w:rsidR="00FF14A0" w:rsidRDefault="00911796" w:rsidP="00F25236">
      <w:pPr>
        <w:pStyle w:val="Heading3"/>
        <w:numPr>
          <w:ilvl w:val="0"/>
          <w:numId w:val="0"/>
        </w:numPr>
        <w:ind w:left="794"/>
      </w:pPr>
      <w:r>
        <w:t>Net Zero</w:t>
      </w:r>
      <w:r w:rsidR="00F25236">
        <w:t xml:space="preserve">: </w:t>
      </w:r>
      <w:r w:rsidR="00B2290C" w:rsidRPr="00F25236">
        <w:rPr>
          <w:b w:val="0"/>
          <w:bCs w:val="0"/>
        </w:rPr>
        <w:t>In alignment with National targets, the Council approved the Net Zero Strategy 2021-2045</w:t>
      </w:r>
      <w:r w:rsidR="00B2290C" w:rsidRPr="00F25236">
        <w:rPr>
          <w:rStyle w:val="FootnoteReference"/>
          <w:b w:val="0"/>
          <w:bCs w:val="0"/>
        </w:rPr>
        <w:footnoteReference w:id="21"/>
      </w:r>
      <w:r w:rsidR="00B2290C" w:rsidRPr="00F25236">
        <w:rPr>
          <w:b w:val="0"/>
          <w:bCs w:val="0"/>
        </w:rPr>
        <w:t xml:space="preserve"> in 2021 which sets out Inverclyde Council’s route map to achieving net zero greenhouse gas emissions by 2045. The Net Zero Action Plan 2022-2027</w:t>
      </w:r>
      <w:r w:rsidR="00B2290C" w:rsidRPr="00F25236">
        <w:rPr>
          <w:rStyle w:val="FootnoteReference"/>
          <w:b w:val="0"/>
          <w:bCs w:val="0"/>
        </w:rPr>
        <w:footnoteReference w:id="22"/>
      </w:r>
      <w:r w:rsidR="00B2290C" w:rsidRPr="00F25236">
        <w:rPr>
          <w:b w:val="0"/>
          <w:bCs w:val="0"/>
        </w:rPr>
        <w:t xml:space="preserve">  was approved in 2022 and this sought to capture and collate current activities that are funded from existing budgets and to also identify new actions which will require additional funding and/or resources. An allocation of £3.3m for 2023/26 was approved as part of the 2023/24 budget setting process to allow a focus on the following areas of activity:</w:t>
      </w:r>
    </w:p>
    <w:p w14:paraId="24E03ECE" w14:textId="77777777" w:rsidR="00FF14A0" w:rsidRDefault="00B2290C" w:rsidP="00F25236">
      <w:pPr>
        <w:pStyle w:val="BodyText"/>
        <w:numPr>
          <w:ilvl w:val="0"/>
          <w:numId w:val="15"/>
        </w:numPr>
        <w:spacing w:after="120" w:line="240" w:lineRule="auto"/>
        <w:ind w:left="1151" w:hanging="357"/>
      </w:pPr>
      <w:r>
        <w:t>Reducing energy use in buildings through improved data collection, controls and targeted</w:t>
      </w:r>
      <w:r w:rsidR="00FF14A0">
        <w:t xml:space="preserve"> </w:t>
      </w:r>
      <w:r>
        <w:t>energy audits;</w:t>
      </w:r>
    </w:p>
    <w:p w14:paraId="4D544BF2" w14:textId="77777777" w:rsidR="00FF14A0" w:rsidRDefault="00B2290C" w:rsidP="00F25236">
      <w:pPr>
        <w:pStyle w:val="BodyText"/>
        <w:numPr>
          <w:ilvl w:val="0"/>
          <w:numId w:val="15"/>
        </w:numPr>
        <w:spacing w:after="120" w:line="240" w:lineRule="auto"/>
        <w:ind w:left="1151" w:hanging="357"/>
      </w:pPr>
      <w:r>
        <w:t>Reducing energy demand in buildings through increased building based renewable</w:t>
      </w:r>
      <w:r w:rsidR="00FF14A0">
        <w:t xml:space="preserve"> </w:t>
      </w:r>
      <w:r>
        <w:t>generation;</w:t>
      </w:r>
    </w:p>
    <w:p w14:paraId="7A7E3AE9" w14:textId="77777777" w:rsidR="00FF14A0" w:rsidRDefault="00B2290C" w:rsidP="00F25236">
      <w:pPr>
        <w:pStyle w:val="BodyText"/>
        <w:numPr>
          <w:ilvl w:val="0"/>
          <w:numId w:val="15"/>
        </w:numPr>
        <w:spacing w:after="120" w:line="240" w:lineRule="auto"/>
        <w:ind w:left="1151" w:hanging="357"/>
      </w:pPr>
      <w:r>
        <w:t>Introduction of low/zero carbon heating within smaller scale assets e.g. Early Years</w:t>
      </w:r>
      <w:r w:rsidR="00FF14A0">
        <w:t xml:space="preserve"> </w:t>
      </w:r>
      <w:r>
        <w:t>Establishments;</w:t>
      </w:r>
    </w:p>
    <w:p w14:paraId="36D89A1B" w14:textId="77777777" w:rsidR="00FF14A0" w:rsidRDefault="00B2290C" w:rsidP="00F25236">
      <w:pPr>
        <w:pStyle w:val="BodyText"/>
        <w:numPr>
          <w:ilvl w:val="0"/>
          <w:numId w:val="15"/>
        </w:numPr>
        <w:spacing w:after="120" w:line="240" w:lineRule="auto"/>
        <w:ind w:left="1151" w:hanging="357"/>
      </w:pPr>
      <w:r>
        <w:t>Offsetting (insetting) via local peatland restoration projects;</w:t>
      </w:r>
    </w:p>
    <w:p w14:paraId="4AC91DD2" w14:textId="2613E103" w:rsidR="00B2290C" w:rsidRDefault="00B2290C" w:rsidP="00F25236">
      <w:pPr>
        <w:pStyle w:val="BodyText"/>
        <w:numPr>
          <w:ilvl w:val="0"/>
          <w:numId w:val="15"/>
        </w:numPr>
        <w:spacing w:after="120" w:line="240" w:lineRule="auto"/>
        <w:ind w:left="1151" w:hanging="357"/>
      </w:pPr>
      <w:r>
        <w:t>Fleet decarbonisation through car and light commercial vehicle transition to ULEV including</w:t>
      </w:r>
      <w:r w:rsidR="00FF14A0">
        <w:t xml:space="preserve"> </w:t>
      </w:r>
      <w:r>
        <w:t>expansion of charge point provision.</w:t>
      </w:r>
    </w:p>
    <w:p w14:paraId="293A3ED2" w14:textId="720EA5D1" w:rsidR="00FF14A0" w:rsidRDefault="00B2290C" w:rsidP="00B2290C">
      <w:pPr>
        <w:pStyle w:val="BodyText"/>
      </w:pPr>
      <w:r>
        <w:t>The Council has been successful in securing external funding support for a number of Net Zero</w:t>
      </w:r>
      <w:r w:rsidR="0082112A">
        <w:t xml:space="preserve"> </w:t>
      </w:r>
      <w:r>
        <w:t>related projects including £0.873m for two peatland restoration projects, work at Dowries farm has</w:t>
      </w:r>
      <w:r w:rsidR="00FF14A0">
        <w:t xml:space="preserve"> </w:t>
      </w:r>
      <w:r>
        <w:t>recently been completed with phase 1 of the 3</w:t>
      </w:r>
      <w:r w:rsidR="005B606B">
        <w:t>-</w:t>
      </w:r>
      <w:r>
        <w:t>year Hardridge Farm project nearing</w:t>
      </w:r>
      <w:r w:rsidR="00FF14A0">
        <w:t xml:space="preserve"> </w:t>
      </w:r>
      <w:r>
        <w:t>completion.</w:t>
      </w:r>
      <w:r w:rsidR="00FF14A0">
        <w:t xml:space="preserve"> </w:t>
      </w:r>
      <w:r>
        <w:t>Funding support has also been secured from Museums Galleries Scotland and the Scottish Football</w:t>
      </w:r>
      <w:r w:rsidR="00FF14A0">
        <w:t xml:space="preserve"> </w:t>
      </w:r>
      <w:r>
        <w:t>Association for LED lighting projects at the Watt Institute and for floodlighting upgrades across</w:t>
      </w:r>
      <w:r w:rsidR="00FF14A0">
        <w:t xml:space="preserve"> </w:t>
      </w:r>
      <w:r>
        <w:t>pitches in Inverclyde.</w:t>
      </w:r>
    </w:p>
    <w:p w14:paraId="31D866E6" w14:textId="33A43662" w:rsidR="00FF14A0" w:rsidRDefault="00FF14A0" w:rsidP="00FF14A0">
      <w:pPr>
        <w:pStyle w:val="BodyText"/>
      </w:pPr>
      <w:r>
        <w:t>In terms of the impact on existing assets, it is recognised that the 2045 targets for Net Zero will involve circa 80% of the buildings currently in use. Retrofitting the existing building stock is a colossal challenge in transitioning the built environment to net zero. The sheer scale of the task has been expressed in UK wide studies which indicate that it would require one building being retrofitted every 35 seconds between 2020 and 2050 in the UK.</w:t>
      </w:r>
    </w:p>
    <w:p w14:paraId="05B7D3B7" w14:textId="77777777" w:rsidR="005D2D75" w:rsidRDefault="005D2D75">
      <w:pPr>
        <w:spacing w:after="200" w:line="276" w:lineRule="auto"/>
      </w:pPr>
      <w:r>
        <w:br w:type="page"/>
      </w:r>
    </w:p>
    <w:p w14:paraId="7D3C8F17" w14:textId="088587CF" w:rsidR="00FF14A0" w:rsidRDefault="00FF14A0" w:rsidP="00FF14A0">
      <w:pPr>
        <w:pStyle w:val="BodyText"/>
      </w:pPr>
      <w:r>
        <w:lastRenderedPageBreak/>
        <w:t>The current Net Zero Action Plan noted that actions towards the end of the initial five-year period include low / zero carbon heating for larger facilities such as primary schools with the current market and available technology limiting the options for heat decarbonisation. It also noted that any heat decarbonisation projects require to be considered in tandem with the action plan item dealing with feasibility studies on deep retrofit which will address the core building fabric performance and associated heat demand beyond the basic decarbonisation of the heating systems. Costs associated with retrofit and fabric upgrades are currently not included in the action plan and will be subject to further detailed feasibility studies and reports. To date there have been retrofit studies undertaken on two primary school buildings, two office buildings and one leisure estate asset with work in this area also being undertaken through a Net Zero Collaboration Group in partnership with hub West Scotland and Built Environment Smarter Transformation (BE-ST) to maximise knowledge sharing and pooling of resources in areas such as the retrofit challenge.</w:t>
      </w:r>
    </w:p>
    <w:p w14:paraId="2C300133" w14:textId="6AF15A31" w:rsidR="00FF14A0" w:rsidRDefault="00FF14A0" w:rsidP="00FF14A0">
      <w:pPr>
        <w:pStyle w:val="BodyText"/>
      </w:pPr>
      <w:r>
        <w:t>The Council has recently published its draft Local Heat and Energy Efficiency Strategy</w:t>
      </w:r>
      <w:r w:rsidR="008D2154" w:rsidRPr="00F25236">
        <w:rPr>
          <w:rStyle w:val="FootnoteReference"/>
          <w:b/>
          <w:bCs/>
        </w:rPr>
        <w:footnoteReference w:id="23"/>
      </w:r>
      <w:r>
        <w:t xml:space="preserve"> and associated Delivery Plan</w:t>
      </w:r>
      <w:r w:rsidR="005B606B" w:rsidRPr="00F25236">
        <w:rPr>
          <w:rStyle w:val="FootnoteReference"/>
          <w:b/>
          <w:bCs/>
        </w:rPr>
        <w:footnoteReference w:id="24"/>
      </w:r>
      <w:r>
        <w:t xml:space="preserve"> with public consultation </w:t>
      </w:r>
      <w:r w:rsidR="00184432">
        <w:t>in March 2024</w:t>
      </w:r>
      <w:r>
        <w:t xml:space="preserve">. The evolving legislation in the area of Net Zero including the Scottish Government </w:t>
      </w:r>
      <w:r w:rsidR="00184432">
        <w:t>proposed</w:t>
      </w:r>
      <w:r>
        <w:t xml:space="preserve"> Heat in Buildings Bill will affect the approach to achieving minimum energy efficiency standards and way we heat our homes, workplaces and other buildings.</w:t>
      </w:r>
    </w:p>
    <w:p w14:paraId="4CD43CF6" w14:textId="26120B41" w:rsidR="00911796" w:rsidRDefault="00FF14A0" w:rsidP="00DD00B4">
      <w:pPr>
        <w:pStyle w:val="BodyText"/>
      </w:pPr>
      <w:r>
        <w:t>There are significant technical, financial and operational considerations / barriers involved in the</w:t>
      </w:r>
      <w:r w:rsidR="00184432">
        <w:t xml:space="preserve"> </w:t>
      </w:r>
      <w:r>
        <w:t xml:space="preserve">transition to net zero emissions for each and every retained building / asset. </w:t>
      </w:r>
      <w:r w:rsidR="00DD00B4">
        <w:t xml:space="preserve">The significant investment the Council has made across the vast majority of the estate over the last 15 years means that the performance gap </w:t>
      </w:r>
      <w:r w:rsidR="00CF504F">
        <w:t xml:space="preserve">is likley to be less </w:t>
      </w:r>
      <w:r w:rsidR="00DD00B4">
        <w:t>when assessing what would be required in terms of retrofit</w:t>
      </w:r>
      <w:r w:rsidR="00CF504F">
        <w:t xml:space="preserve">, particularly for recently constructed </w:t>
      </w:r>
      <w:r w:rsidR="00DD00B4">
        <w:t xml:space="preserve">/ comprehensively refurbished assets. However, </w:t>
      </w:r>
      <w:r w:rsidR="00CF504F">
        <w:t xml:space="preserve">it is also recognised that the </w:t>
      </w:r>
      <w:r w:rsidR="00AB62A4">
        <w:t>‘</w:t>
      </w:r>
      <w:r w:rsidR="00CF504F">
        <w:t>in use</w:t>
      </w:r>
      <w:r w:rsidR="00AB62A4">
        <w:t>’</w:t>
      </w:r>
      <w:r w:rsidR="00CF504F">
        <w:t xml:space="preserve"> performance of assets compared to the designed performance has been an industry wide issue with a current </w:t>
      </w:r>
      <w:r w:rsidR="00AB62A4">
        <w:t xml:space="preserve">renewed </w:t>
      </w:r>
      <w:r w:rsidR="00CF504F">
        <w:t>focus on construct</w:t>
      </w:r>
      <w:r w:rsidR="00AB62A4">
        <w:t>i</w:t>
      </w:r>
      <w:r w:rsidR="00CF504F">
        <w:t>on quality initiatives and development of Net Zero Public Building Standard guidance inc</w:t>
      </w:r>
      <w:r w:rsidR="00AB62A4">
        <w:t>l</w:t>
      </w:r>
      <w:r w:rsidR="00CF504F">
        <w:t>uding a move towards passivhaus construction. Heat networks are also likely to play a significant part in the overall approach to Net Zero however it rem</w:t>
      </w:r>
      <w:r w:rsidR="00AB62A4">
        <w:t>ains to be seen how these can be progressed at the scale and pace required to align with National targets.</w:t>
      </w:r>
    </w:p>
    <w:p w14:paraId="342B2A90" w14:textId="06DB94CE" w:rsidR="00883BF8" w:rsidRDefault="000E556C" w:rsidP="00A6702C">
      <w:pPr>
        <w:pStyle w:val="Heading2"/>
      </w:pPr>
      <w:bookmarkStart w:id="53" w:name="_Hlk162187111"/>
      <w:r>
        <w:t>Funding</w:t>
      </w:r>
      <w:bookmarkEnd w:id="37"/>
      <w:r w:rsidR="0040691C">
        <w:t xml:space="preserve"> </w:t>
      </w:r>
      <w:r w:rsidR="006E7CC2">
        <w:t xml:space="preserve"> </w:t>
      </w:r>
      <w:bookmarkEnd w:id="38"/>
    </w:p>
    <w:p w14:paraId="56AD68E3" w14:textId="2B0E9B47" w:rsidR="00266075" w:rsidRDefault="0074612F" w:rsidP="00055A1D">
      <w:pPr>
        <w:pStyle w:val="BodyText"/>
      </w:pPr>
      <w:r>
        <w:t xml:space="preserve">One objective </w:t>
      </w:r>
      <w:bookmarkEnd w:id="39"/>
      <w:r>
        <w:t xml:space="preserve">of the Capital Strategy is to demonstrate </w:t>
      </w:r>
      <w:bookmarkEnd w:id="40"/>
      <w:r>
        <w:t xml:space="preserve">the </w:t>
      </w:r>
      <w:bookmarkEnd w:id="41"/>
      <w:r>
        <w:t xml:space="preserve">sustainability and affordability of its capital expenditure </w:t>
      </w:r>
      <w:bookmarkEnd w:id="42"/>
      <w:r>
        <w:t xml:space="preserve">and investment plans. </w:t>
      </w:r>
      <w:r w:rsidR="00055A1D">
        <w:t>Annual capital budget allocations are provided for investment in the core assets identified via the Asset Management Plans with these allocations intended to maintain the existing assets to acceptable standards. The allowances do not generally allow for expansion or replacement of existing assets which would normally be addressed through specific investment proposals</w:t>
      </w:r>
      <w:bookmarkEnd w:id="43"/>
      <w:bookmarkEnd w:id="44"/>
      <w:r w:rsidR="0027314E" w:rsidRPr="00112D5E">
        <w:t xml:space="preserve">. </w:t>
      </w:r>
    </w:p>
    <w:p w14:paraId="2BBCFADB" w14:textId="45FEE924" w:rsidR="00801066" w:rsidRPr="00F25236" w:rsidRDefault="00801066" w:rsidP="00F25236">
      <w:pPr>
        <w:pStyle w:val="Heading3"/>
        <w:numPr>
          <w:ilvl w:val="0"/>
          <w:numId w:val="0"/>
        </w:numPr>
        <w:ind w:left="794"/>
        <w:rPr>
          <w:b w:val="0"/>
          <w:bCs w:val="0"/>
        </w:rPr>
      </w:pPr>
      <w:bookmarkStart w:id="54" w:name="_Hlk162184083"/>
      <w:bookmarkEnd w:id="45"/>
      <w:bookmarkEnd w:id="53"/>
      <w:r>
        <w:t>Capital Grant</w:t>
      </w:r>
      <w:r w:rsidR="00F25236">
        <w:t xml:space="preserve">: </w:t>
      </w:r>
      <w:r w:rsidRPr="00F25236">
        <w:rPr>
          <w:b w:val="0"/>
          <w:bCs w:val="0"/>
        </w:rPr>
        <w:t xml:space="preserve">The Scottish Government spending review in 2021 confirmed the General Capital Grant will remain at the current level until at least 2025/26 and the latest projections from the Scottish Fiscal Commission </w:t>
      </w:r>
      <w:bookmarkEnd w:id="54"/>
      <w:r w:rsidRPr="00F25236">
        <w:rPr>
          <w:b w:val="0"/>
          <w:bCs w:val="0"/>
        </w:rPr>
        <w:t>indicate that in the medium</w:t>
      </w:r>
      <w:r w:rsidR="00EC12D1" w:rsidRPr="00F25236">
        <w:rPr>
          <w:b w:val="0"/>
          <w:bCs w:val="0"/>
        </w:rPr>
        <w:t>-</w:t>
      </w:r>
      <w:r w:rsidRPr="00F25236">
        <w:rPr>
          <w:b w:val="0"/>
          <w:bCs w:val="0"/>
        </w:rPr>
        <w:t xml:space="preserve">term capital resources are expected to become even tighter. </w:t>
      </w:r>
      <w:r w:rsidR="00055A1D" w:rsidRPr="00F25236">
        <w:rPr>
          <w:b w:val="0"/>
          <w:bCs w:val="0"/>
        </w:rPr>
        <w:t>The current Capital Strategy</w:t>
      </w:r>
      <w:r w:rsidRPr="00F25236">
        <w:rPr>
          <w:b w:val="0"/>
          <w:bCs w:val="0"/>
        </w:rPr>
        <w:t xml:space="preserve"> assume</w:t>
      </w:r>
      <w:r w:rsidR="00055A1D" w:rsidRPr="00F25236">
        <w:rPr>
          <w:b w:val="0"/>
          <w:bCs w:val="0"/>
        </w:rPr>
        <w:t>s</w:t>
      </w:r>
      <w:r w:rsidRPr="00F25236">
        <w:rPr>
          <w:b w:val="0"/>
          <w:bCs w:val="0"/>
        </w:rPr>
        <w:t xml:space="preserve"> a continuation of the current level of Capital Grant £5.75m to 2027/28. The General Capital Grant in 2024/25 is approximately £3.8m short of the current allocations which in turn have been frozen at 2023/24 levels resulting in real terms funding reductions. The current Financial Strategy assumes that the Council will prudentially fund £1.5m of capital investment annually to 2030/31 which will partially address th</w:t>
      </w:r>
      <w:r w:rsidR="00055A1D" w:rsidRPr="00F25236">
        <w:rPr>
          <w:b w:val="0"/>
          <w:bCs w:val="0"/>
        </w:rPr>
        <w:t>e</w:t>
      </w:r>
      <w:r w:rsidRPr="00F25236">
        <w:rPr>
          <w:b w:val="0"/>
          <w:bCs w:val="0"/>
        </w:rPr>
        <w:t xml:space="preserve"> pressure for the next 6 years. The remaining shortfall of approximately £2.3m per year will require to be funded from either capital receipts, revenue reserves and prudential borrowing or reductions in the asset base.</w:t>
      </w:r>
    </w:p>
    <w:p w14:paraId="199D406E" w14:textId="48AAB9E7" w:rsidR="00372564" w:rsidRDefault="00801066" w:rsidP="00F25236">
      <w:pPr>
        <w:pStyle w:val="Heading3"/>
        <w:numPr>
          <w:ilvl w:val="0"/>
          <w:numId w:val="0"/>
        </w:numPr>
        <w:ind w:left="794"/>
        <w:rPr>
          <w:b w:val="0"/>
          <w:bCs w:val="0"/>
        </w:rPr>
      </w:pPr>
      <w:bookmarkStart w:id="55" w:name="_Hlk162212692"/>
      <w:r>
        <w:lastRenderedPageBreak/>
        <w:t>Loan Fund Debt</w:t>
      </w:r>
      <w:r w:rsidR="00F25236">
        <w:t xml:space="preserve">: </w:t>
      </w:r>
      <w:r w:rsidRPr="00F25236">
        <w:rPr>
          <w:b w:val="0"/>
          <w:bCs w:val="0"/>
        </w:rPr>
        <w:t>Inverclyde Council is coming to the end of a period of ambitious investment</w:t>
      </w:r>
      <w:r w:rsidR="00647BBC" w:rsidRPr="00F25236">
        <w:rPr>
          <w:b w:val="0"/>
          <w:bCs w:val="0"/>
        </w:rPr>
        <w:t xml:space="preserve"> in the School Estate, Leisure Estate, Roads Assets plus the rationalisation of the Office and Depot Estate</w:t>
      </w:r>
      <w:r w:rsidRPr="00F25236">
        <w:rPr>
          <w:b w:val="0"/>
          <w:bCs w:val="0"/>
        </w:rPr>
        <w:t>. This has seen a significant increase in the Council’s Loan Fund Debt over the last 15 years</w:t>
      </w:r>
      <w:r w:rsidR="00647BBC" w:rsidRPr="00F25236">
        <w:rPr>
          <w:b w:val="0"/>
          <w:bCs w:val="0"/>
        </w:rPr>
        <w:t xml:space="preserve"> and projections indicate that the Loan debt will peak in 2026/27.</w:t>
      </w:r>
      <w:r w:rsidRPr="00F25236">
        <w:rPr>
          <w:b w:val="0"/>
          <w:bCs w:val="0"/>
        </w:rPr>
        <w:t xml:space="preserve"> </w:t>
      </w:r>
      <w:r w:rsidR="00055A1D" w:rsidRPr="00F25236">
        <w:rPr>
          <w:b w:val="0"/>
          <w:bCs w:val="0"/>
        </w:rPr>
        <w:t xml:space="preserve">Given the current shortfall between </w:t>
      </w:r>
      <w:bookmarkEnd w:id="55"/>
      <w:r w:rsidR="00055A1D" w:rsidRPr="00F25236">
        <w:rPr>
          <w:b w:val="0"/>
          <w:bCs w:val="0"/>
        </w:rPr>
        <w:t>Government Grant and annual</w:t>
      </w:r>
      <w:r w:rsidR="00647BBC" w:rsidRPr="00F25236">
        <w:rPr>
          <w:b w:val="0"/>
          <w:bCs w:val="0"/>
        </w:rPr>
        <w:t xml:space="preserve"> </w:t>
      </w:r>
      <w:r w:rsidR="00055A1D" w:rsidRPr="00F25236">
        <w:rPr>
          <w:b w:val="0"/>
          <w:bCs w:val="0"/>
        </w:rPr>
        <w:t>capital requirements, it is likely that Prudential Borrowing and hence debt</w:t>
      </w:r>
      <w:r w:rsidR="00647BBC" w:rsidRPr="00F25236">
        <w:rPr>
          <w:b w:val="0"/>
          <w:bCs w:val="0"/>
        </w:rPr>
        <w:t xml:space="preserve"> </w:t>
      </w:r>
      <w:r w:rsidR="00055A1D" w:rsidRPr="00F25236">
        <w:rPr>
          <w:b w:val="0"/>
          <w:bCs w:val="0"/>
        </w:rPr>
        <w:t xml:space="preserve">will need to substantially increase </w:t>
      </w:r>
      <w:r w:rsidR="00647BBC" w:rsidRPr="00F25236">
        <w:rPr>
          <w:b w:val="0"/>
          <w:bCs w:val="0"/>
        </w:rPr>
        <w:t>in future years</w:t>
      </w:r>
      <w:r w:rsidR="00055A1D" w:rsidRPr="00F25236">
        <w:rPr>
          <w:b w:val="0"/>
          <w:bCs w:val="0"/>
        </w:rPr>
        <w:t xml:space="preserve"> with the resultant increase in pressure on the</w:t>
      </w:r>
      <w:r w:rsidR="00647BBC" w:rsidRPr="00F25236">
        <w:rPr>
          <w:b w:val="0"/>
          <w:bCs w:val="0"/>
        </w:rPr>
        <w:t xml:space="preserve"> </w:t>
      </w:r>
      <w:r w:rsidR="00055A1D" w:rsidRPr="00F25236">
        <w:rPr>
          <w:b w:val="0"/>
          <w:bCs w:val="0"/>
        </w:rPr>
        <w:t>Council’s Revenue Budget</w:t>
      </w:r>
      <w:r w:rsidRPr="00F25236">
        <w:rPr>
          <w:b w:val="0"/>
          <w:bCs w:val="0"/>
        </w:rPr>
        <w:t>.</w:t>
      </w:r>
      <w:bookmarkEnd w:id="46"/>
      <w:bookmarkEnd w:id="47"/>
    </w:p>
    <w:p w14:paraId="3E1ED7F4" w14:textId="77777777" w:rsidR="00F37012" w:rsidRDefault="00F37012" w:rsidP="00F25236">
      <w:pPr>
        <w:pStyle w:val="Heading3"/>
        <w:numPr>
          <w:ilvl w:val="0"/>
          <w:numId w:val="0"/>
        </w:numPr>
        <w:ind w:left="794"/>
      </w:pPr>
    </w:p>
    <w:p w14:paraId="1BBF2C2E" w14:textId="545E3B89" w:rsidR="00647BBC" w:rsidRPr="00F25236" w:rsidRDefault="00647BBC" w:rsidP="00F25236">
      <w:pPr>
        <w:pStyle w:val="Heading3"/>
        <w:numPr>
          <w:ilvl w:val="0"/>
          <w:numId w:val="0"/>
        </w:numPr>
        <w:ind w:left="794"/>
        <w:rPr>
          <w:b w:val="0"/>
          <w:bCs w:val="0"/>
        </w:rPr>
      </w:pPr>
      <w:r>
        <w:t>Longer Term Investment Constraints</w:t>
      </w:r>
      <w:r w:rsidR="00F25236">
        <w:t xml:space="preserve">: </w:t>
      </w:r>
      <w:r w:rsidRPr="00F25236">
        <w:rPr>
          <w:b w:val="0"/>
          <w:bCs w:val="0"/>
        </w:rPr>
        <w:t>The Councils Capital Strategy highlights the following pressures</w:t>
      </w:r>
      <w:r w:rsidR="00AE74B5" w:rsidRPr="00F25236">
        <w:rPr>
          <w:b w:val="0"/>
          <w:bCs w:val="0"/>
        </w:rPr>
        <w:t xml:space="preserve"> in respect of the ability to maintain and move forward with Corporate Asset Management planning</w:t>
      </w:r>
      <w:r w:rsidRPr="00F25236">
        <w:rPr>
          <w:b w:val="0"/>
          <w:bCs w:val="0"/>
        </w:rPr>
        <w:t>:</w:t>
      </w:r>
    </w:p>
    <w:p w14:paraId="3DC4A43E" w14:textId="4CC456C8" w:rsidR="00647BBC" w:rsidRDefault="00647BBC" w:rsidP="00F25236">
      <w:pPr>
        <w:pStyle w:val="BodyText"/>
        <w:numPr>
          <w:ilvl w:val="0"/>
          <w:numId w:val="16"/>
        </w:numPr>
        <w:spacing w:after="120"/>
        <w:ind w:left="1151" w:hanging="357"/>
      </w:pPr>
      <w:r>
        <w:t>It is unlikely that Government Grant and estimated Capital receipts will be sufficient to meet the required investment levels for the Council to maintain its current asset base;</w:t>
      </w:r>
    </w:p>
    <w:p w14:paraId="73CCB30D" w14:textId="4393389C" w:rsidR="00647BBC" w:rsidRDefault="00647BBC" w:rsidP="00F25236">
      <w:pPr>
        <w:pStyle w:val="BodyText"/>
        <w:numPr>
          <w:ilvl w:val="0"/>
          <w:numId w:val="16"/>
        </w:numPr>
        <w:spacing w:after="120"/>
        <w:ind w:left="1151" w:hanging="357"/>
      </w:pPr>
      <w:r>
        <w:t>Any prudential borrowing will need to be funded from savings delivered by the investment or revenue savings. This will require the Council to make decisions to disinvest in certain assets, reduce the number of assets it holds or cut day to day services;</w:t>
      </w:r>
    </w:p>
    <w:p w14:paraId="3B4413A6" w14:textId="34A1FDD3" w:rsidR="00647BBC" w:rsidRDefault="0076551F" w:rsidP="00F25236">
      <w:pPr>
        <w:pStyle w:val="BodyText"/>
        <w:numPr>
          <w:ilvl w:val="0"/>
          <w:numId w:val="16"/>
        </w:numPr>
        <w:spacing w:after="120"/>
        <w:ind w:left="1151" w:hanging="357"/>
      </w:pPr>
      <w:r w:rsidRPr="0076551F">
        <w:t>The current annual allocations make no allowance for the transition to Net Zero</w:t>
      </w:r>
      <w:r>
        <w:t>. Retrofitting of the public sector estate as outlined in 6.2 will be technically and operationally challenging and will involve significant additional capital investment in the period to 2045, funding will require to be identified to address this.</w:t>
      </w:r>
    </w:p>
    <w:p w14:paraId="629A1CD0" w14:textId="68F34F89" w:rsidR="00AE74B5" w:rsidRDefault="00AE74B5" w:rsidP="00F25236">
      <w:pPr>
        <w:pStyle w:val="BodyText"/>
        <w:numPr>
          <w:ilvl w:val="0"/>
          <w:numId w:val="16"/>
        </w:numPr>
        <w:spacing w:after="120"/>
        <w:ind w:left="1151" w:hanging="357"/>
      </w:pPr>
      <w:r>
        <w:t>Current levels of investment take no account of inflation or any one-off Capital investment requirements not included in the core life cycle maintenance allocations. Any such investment requirements will require to be identified through the relevant Asset Management Plans and following consideration as part of the normal governance processes would be factored into future Capital Strategy reports;</w:t>
      </w:r>
    </w:p>
    <w:p w14:paraId="1C2459B9" w14:textId="44B3002B" w:rsidR="00AB62A4" w:rsidRDefault="00AE74B5" w:rsidP="00AB62A4">
      <w:pPr>
        <w:pStyle w:val="BodyText"/>
        <w:numPr>
          <w:ilvl w:val="0"/>
          <w:numId w:val="16"/>
        </w:numPr>
        <w:spacing w:after="120"/>
        <w:ind w:left="1151" w:hanging="357"/>
      </w:pPr>
      <w:r>
        <w:t>The unprecedented pressures on the Council’s capital investment resources are being contained at present via the use of one-off reserves and maintenance requirements being suppressed by the high levels of capital investment over the last 15 years. As assets created/refurbished at that time get older and investment requirements increase then the current asset base/ funding approach is simply unsustainable</w:t>
      </w:r>
      <w:r w:rsidR="002D22EF">
        <w:t>.</w:t>
      </w:r>
    </w:p>
    <w:p w14:paraId="51758F5D" w14:textId="77777777" w:rsidR="00AB62A4" w:rsidRDefault="00AB62A4" w:rsidP="00AB62A4">
      <w:pPr>
        <w:pStyle w:val="BodyText"/>
        <w:spacing w:after="120"/>
      </w:pPr>
    </w:p>
    <w:p w14:paraId="1E6E1E7C" w14:textId="0FFB1216" w:rsidR="002D22EF" w:rsidRDefault="008830C1" w:rsidP="002D22EF">
      <w:pPr>
        <w:pStyle w:val="BodyText"/>
      </w:pPr>
      <w:r w:rsidRPr="008830C1">
        <w:rPr>
          <w:b/>
          <w:bCs/>
        </w:rPr>
        <w:t>Asset Management Workstream Saving:</w:t>
      </w:r>
      <w:r>
        <w:t xml:space="preserve"> </w:t>
      </w:r>
      <w:r w:rsidR="002D22EF">
        <w:t>The Council has approved the creation of an Asset Management savings workstream to be progressed during 2024/25. Whilst this has a net revenue savings target, a secondary and potentially larger saving will be in future capital investment requirements. To achieve recurring savings will require clear prioritisation and a longer</w:t>
      </w:r>
      <w:r>
        <w:t>-</w:t>
      </w:r>
      <w:r w:rsidR="002D22EF">
        <w:t>term view from Elected Members informed by the Asset Management Plans developed to support this Strategy.</w:t>
      </w:r>
    </w:p>
    <w:p w14:paraId="5A27B880" w14:textId="65CEC64F" w:rsidR="00A67A2B" w:rsidRDefault="00A67A2B">
      <w:pPr>
        <w:spacing w:after="200" w:line="276" w:lineRule="auto"/>
        <w:rPr>
          <w:rFonts w:eastAsiaTheme="majorEastAsia" w:cstheme="majorBidi"/>
          <w:b/>
          <w:bCs/>
        </w:rPr>
      </w:pPr>
      <w:r>
        <w:rPr>
          <w:rFonts w:eastAsiaTheme="majorEastAsia" w:cstheme="majorBidi"/>
          <w:b/>
          <w:bCs/>
        </w:rPr>
        <w:br w:type="page"/>
      </w:r>
    </w:p>
    <w:p w14:paraId="2C0F65D9" w14:textId="00CCD076" w:rsidR="00D3119C" w:rsidRDefault="005C044E" w:rsidP="00D3119C">
      <w:pPr>
        <w:spacing w:after="200" w:line="276" w:lineRule="auto"/>
        <w:rPr>
          <w:rFonts w:eastAsiaTheme="majorEastAsia" w:cstheme="majorBidi"/>
          <w:b/>
          <w:bCs/>
        </w:rPr>
      </w:pPr>
      <w:bookmarkStart w:id="56" w:name="_Hlk161846021"/>
      <w:r>
        <w:rPr>
          <w:rFonts w:eastAsiaTheme="majorEastAsia" w:cstheme="majorBidi"/>
          <w:b/>
          <w:bCs/>
        </w:rPr>
        <w:lastRenderedPageBreak/>
        <w:t xml:space="preserve">PROPERTY </w:t>
      </w:r>
      <w:r w:rsidR="0052458A">
        <w:rPr>
          <w:rFonts w:eastAsiaTheme="majorEastAsia" w:cstheme="majorBidi"/>
          <w:b/>
          <w:bCs/>
        </w:rPr>
        <w:t xml:space="preserve">ASSET SUMMARY (Table 1) </w:t>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D3119C">
        <w:rPr>
          <w:rFonts w:eastAsiaTheme="majorEastAsia" w:cstheme="majorBidi"/>
          <w:b/>
          <w:bCs/>
        </w:rPr>
        <w:t>Appendix 1</w:t>
      </w:r>
      <w:r>
        <w:rPr>
          <w:rFonts w:eastAsiaTheme="majorEastAsia" w:cstheme="majorBidi"/>
          <w:b/>
          <w:bCs/>
        </w:rPr>
        <w:t>.1</w:t>
      </w:r>
    </w:p>
    <w:tbl>
      <w:tblPr>
        <w:tblpPr w:leftFromText="180" w:rightFromText="180" w:vertAnchor="page" w:horzAnchor="margin" w:tblpY="33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933"/>
        <w:gridCol w:w="1402"/>
        <w:gridCol w:w="1784"/>
        <w:gridCol w:w="2383"/>
      </w:tblGrid>
      <w:tr w:rsidR="0094646C" w:rsidRPr="002D7C7B" w14:paraId="7F2713BA" w14:textId="77777777" w:rsidTr="0094646C">
        <w:tc>
          <w:tcPr>
            <w:tcW w:w="1708" w:type="pct"/>
            <w:shd w:val="clear" w:color="auto" w:fill="E1E1FF"/>
          </w:tcPr>
          <w:p w14:paraId="4E5D2A26" w14:textId="77777777" w:rsidR="0094646C" w:rsidRPr="009A33E7" w:rsidRDefault="0094646C" w:rsidP="0094646C">
            <w:pPr>
              <w:rPr>
                <w:rFonts w:asciiTheme="minorHAnsi" w:hAnsiTheme="minorHAnsi" w:cs="Arial"/>
                <w:b/>
                <w:szCs w:val="18"/>
              </w:rPr>
            </w:pPr>
            <w:r w:rsidRPr="009A33E7">
              <w:rPr>
                <w:rFonts w:asciiTheme="minorHAnsi" w:hAnsiTheme="minorHAnsi" w:cs="Arial"/>
                <w:b/>
                <w:szCs w:val="18"/>
              </w:rPr>
              <w:t>Service</w:t>
            </w:r>
          </w:p>
        </w:tc>
        <w:tc>
          <w:tcPr>
            <w:tcW w:w="480" w:type="pct"/>
            <w:shd w:val="clear" w:color="auto" w:fill="E1E1FF"/>
          </w:tcPr>
          <w:p w14:paraId="6726DB47" w14:textId="77777777"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Total Assets</w:t>
            </w:r>
          </w:p>
        </w:tc>
        <w:tc>
          <w:tcPr>
            <w:tcW w:w="684" w:type="pct"/>
            <w:shd w:val="clear" w:color="auto" w:fill="E1E1FF"/>
          </w:tcPr>
          <w:p w14:paraId="58B72D13" w14:textId="77777777"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Number of Operational Buildings</w:t>
            </w:r>
          </w:p>
        </w:tc>
        <w:tc>
          <w:tcPr>
            <w:tcW w:w="912" w:type="pct"/>
            <w:shd w:val="clear" w:color="auto" w:fill="E1E1FF"/>
          </w:tcPr>
          <w:p w14:paraId="06491C87" w14:textId="77777777"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Vacant</w:t>
            </w:r>
          </w:p>
          <w:p w14:paraId="3DD82CBA" w14:textId="77777777"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/Undergoing Refurbishment</w:t>
            </w:r>
          </w:p>
        </w:tc>
        <w:tc>
          <w:tcPr>
            <w:tcW w:w="1216" w:type="pct"/>
            <w:shd w:val="clear" w:color="auto" w:fill="E1E1FF"/>
          </w:tcPr>
          <w:p w14:paraId="2938B290" w14:textId="77777777"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Gross Internal Floor Area (m2)</w:t>
            </w:r>
          </w:p>
        </w:tc>
      </w:tr>
      <w:tr w:rsidR="0094646C" w:rsidRPr="002D7C7B" w14:paraId="41B5EB4D" w14:textId="77777777" w:rsidTr="0094646C">
        <w:tc>
          <w:tcPr>
            <w:tcW w:w="1708" w:type="pct"/>
            <w:shd w:val="clear" w:color="auto" w:fill="auto"/>
          </w:tcPr>
          <w:p w14:paraId="192CC979"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Corporate Services</w:t>
            </w:r>
          </w:p>
          <w:p w14:paraId="6639E705" w14:textId="77777777" w:rsidR="0094646C" w:rsidRPr="009A33E7" w:rsidRDefault="0094646C" w:rsidP="00184432">
            <w:pPr>
              <w:numPr>
                <w:ilvl w:val="0"/>
                <w:numId w:val="10"/>
              </w:numPr>
              <w:spacing w:after="0"/>
              <w:rPr>
                <w:rFonts w:asciiTheme="minorHAnsi" w:hAnsiTheme="minorHAnsi" w:cs="Arial"/>
                <w:szCs w:val="18"/>
              </w:rPr>
            </w:pPr>
            <w:r w:rsidRPr="009A33E7">
              <w:rPr>
                <w:rFonts w:asciiTheme="minorHAnsi" w:hAnsiTheme="minorHAnsi" w:cs="Arial"/>
                <w:szCs w:val="18"/>
              </w:rPr>
              <w:t>Offices</w:t>
            </w:r>
          </w:p>
          <w:p w14:paraId="56609045" w14:textId="77777777" w:rsidR="0094646C" w:rsidRPr="009A33E7" w:rsidRDefault="0094646C" w:rsidP="0094646C">
            <w:pPr>
              <w:spacing w:after="0"/>
              <w:ind w:left="720"/>
              <w:rPr>
                <w:rFonts w:asciiTheme="minorHAnsi" w:hAnsiTheme="minorHAnsi" w:cs="Arial"/>
                <w:szCs w:val="18"/>
              </w:rPr>
            </w:pPr>
          </w:p>
        </w:tc>
        <w:tc>
          <w:tcPr>
            <w:tcW w:w="480" w:type="pct"/>
            <w:shd w:val="clear" w:color="auto" w:fill="auto"/>
          </w:tcPr>
          <w:p w14:paraId="518B7EA8" w14:textId="77777777" w:rsidR="0094646C" w:rsidRPr="009A33E7" w:rsidRDefault="0094646C" w:rsidP="0094646C">
            <w:pPr>
              <w:jc w:val="center"/>
              <w:rPr>
                <w:rFonts w:asciiTheme="minorHAnsi" w:hAnsiTheme="minorHAnsi" w:cs="Arial"/>
                <w:szCs w:val="18"/>
              </w:rPr>
            </w:pPr>
          </w:p>
          <w:p w14:paraId="6F86D9D5" w14:textId="79BA52EA" w:rsidR="0094646C" w:rsidRPr="009A33E7" w:rsidRDefault="008A5145" w:rsidP="0094646C">
            <w:pPr>
              <w:jc w:val="center"/>
              <w:rPr>
                <w:rFonts w:asciiTheme="minorHAnsi" w:hAnsiTheme="minorHAnsi" w:cs="Arial"/>
                <w:szCs w:val="18"/>
              </w:rPr>
            </w:pPr>
            <w:r>
              <w:rPr>
                <w:rFonts w:asciiTheme="minorHAnsi" w:hAnsiTheme="minorHAnsi" w:cs="Arial"/>
                <w:szCs w:val="18"/>
              </w:rPr>
              <w:t>10</w:t>
            </w:r>
          </w:p>
        </w:tc>
        <w:tc>
          <w:tcPr>
            <w:tcW w:w="684" w:type="pct"/>
            <w:shd w:val="clear" w:color="auto" w:fill="auto"/>
          </w:tcPr>
          <w:p w14:paraId="235FA250" w14:textId="77777777" w:rsidR="0094646C" w:rsidRPr="009A33E7" w:rsidRDefault="0094646C" w:rsidP="0094646C">
            <w:pPr>
              <w:jc w:val="center"/>
              <w:rPr>
                <w:rFonts w:asciiTheme="minorHAnsi" w:hAnsiTheme="minorHAnsi" w:cs="Arial"/>
                <w:szCs w:val="18"/>
              </w:rPr>
            </w:pPr>
          </w:p>
          <w:p w14:paraId="26E29A20" w14:textId="77777777"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7</w:t>
            </w:r>
          </w:p>
        </w:tc>
        <w:tc>
          <w:tcPr>
            <w:tcW w:w="912" w:type="pct"/>
            <w:shd w:val="clear" w:color="auto" w:fill="auto"/>
          </w:tcPr>
          <w:p w14:paraId="5E3F86E7" w14:textId="77777777" w:rsidR="0094646C" w:rsidRPr="009A33E7" w:rsidRDefault="0094646C" w:rsidP="0094646C">
            <w:pPr>
              <w:jc w:val="center"/>
              <w:rPr>
                <w:rFonts w:asciiTheme="minorHAnsi" w:hAnsiTheme="minorHAnsi" w:cs="Arial"/>
                <w:szCs w:val="18"/>
              </w:rPr>
            </w:pPr>
          </w:p>
          <w:p w14:paraId="46273E7C" w14:textId="280CAE8C" w:rsidR="0094646C" w:rsidRPr="009A33E7" w:rsidRDefault="008A5145" w:rsidP="0094646C">
            <w:pPr>
              <w:jc w:val="center"/>
              <w:rPr>
                <w:rFonts w:asciiTheme="minorHAnsi" w:hAnsiTheme="minorHAnsi" w:cs="Arial"/>
                <w:szCs w:val="18"/>
              </w:rPr>
            </w:pPr>
            <w:r>
              <w:rPr>
                <w:rFonts w:asciiTheme="minorHAnsi" w:hAnsiTheme="minorHAnsi" w:cs="Arial"/>
                <w:szCs w:val="18"/>
              </w:rPr>
              <w:t>3</w:t>
            </w:r>
          </w:p>
        </w:tc>
        <w:tc>
          <w:tcPr>
            <w:tcW w:w="1216" w:type="pct"/>
            <w:shd w:val="clear" w:color="auto" w:fill="auto"/>
          </w:tcPr>
          <w:p w14:paraId="6A94EA78" w14:textId="77777777" w:rsidR="0094646C" w:rsidRPr="009A33E7" w:rsidRDefault="0094646C" w:rsidP="0094646C">
            <w:pPr>
              <w:jc w:val="center"/>
              <w:rPr>
                <w:rFonts w:asciiTheme="minorHAnsi" w:hAnsiTheme="minorHAnsi" w:cs="Arial"/>
                <w:szCs w:val="18"/>
              </w:rPr>
            </w:pPr>
          </w:p>
          <w:p w14:paraId="6DF3EC1C" w14:textId="3A210691"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1</w:t>
            </w:r>
            <w:r w:rsidR="00A536B3">
              <w:rPr>
                <w:rFonts w:asciiTheme="minorHAnsi" w:hAnsiTheme="minorHAnsi" w:cs="Arial"/>
                <w:szCs w:val="18"/>
              </w:rPr>
              <w:t>6</w:t>
            </w:r>
            <w:r w:rsidRPr="009A33E7">
              <w:rPr>
                <w:rFonts w:asciiTheme="minorHAnsi" w:hAnsiTheme="minorHAnsi" w:cs="Arial"/>
                <w:szCs w:val="18"/>
              </w:rPr>
              <w:t>,</w:t>
            </w:r>
            <w:r w:rsidR="00A536B3">
              <w:rPr>
                <w:rFonts w:asciiTheme="minorHAnsi" w:hAnsiTheme="minorHAnsi" w:cs="Arial"/>
                <w:szCs w:val="18"/>
              </w:rPr>
              <w:t>139</w:t>
            </w:r>
          </w:p>
        </w:tc>
      </w:tr>
      <w:tr w:rsidR="0094646C" w:rsidRPr="002D7C7B" w14:paraId="7E4A9297" w14:textId="77777777" w:rsidTr="0094646C">
        <w:tc>
          <w:tcPr>
            <w:tcW w:w="1708" w:type="pct"/>
            <w:shd w:val="clear" w:color="auto" w:fill="auto"/>
          </w:tcPr>
          <w:p w14:paraId="7B10CFFF"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Education &amp; Culture</w:t>
            </w:r>
          </w:p>
          <w:p w14:paraId="4F086079" w14:textId="77777777" w:rsidR="0094646C" w:rsidRPr="009A33E7" w:rsidRDefault="0094646C" w:rsidP="00184432">
            <w:pPr>
              <w:numPr>
                <w:ilvl w:val="0"/>
                <w:numId w:val="10"/>
              </w:numPr>
              <w:spacing w:after="0"/>
              <w:rPr>
                <w:rFonts w:asciiTheme="minorHAnsi" w:hAnsiTheme="minorHAnsi" w:cs="Arial"/>
                <w:szCs w:val="18"/>
              </w:rPr>
            </w:pPr>
            <w:r w:rsidRPr="009A33E7">
              <w:rPr>
                <w:rFonts w:asciiTheme="minorHAnsi" w:hAnsiTheme="minorHAnsi" w:cs="Arial"/>
                <w:szCs w:val="18"/>
              </w:rPr>
              <w:t>Schools</w:t>
            </w:r>
          </w:p>
          <w:p w14:paraId="0F69DF19" w14:textId="77777777" w:rsidR="0094646C" w:rsidRPr="009A33E7" w:rsidRDefault="0094646C" w:rsidP="00184432">
            <w:pPr>
              <w:numPr>
                <w:ilvl w:val="0"/>
                <w:numId w:val="10"/>
              </w:numPr>
              <w:spacing w:after="0"/>
              <w:rPr>
                <w:rFonts w:asciiTheme="minorHAnsi" w:hAnsiTheme="minorHAnsi" w:cs="Arial"/>
                <w:szCs w:val="18"/>
              </w:rPr>
            </w:pPr>
            <w:r w:rsidRPr="009A33E7">
              <w:rPr>
                <w:rFonts w:asciiTheme="minorHAnsi" w:hAnsiTheme="minorHAnsi" w:cs="Arial"/>
                <w:szCs w:val="18"/>
              </w:rPr>
              <w:t>Early Learning</w:t>
            </w:r>
          </w:p>
          <w:p w14:paraId="6BA06D17" w14:textId="77777777" w:rsidR="0094646C" w:rsidRPr="009A33E7" w:rsidRDefault="0094646C" w:rsidP="00184432">
            <w:pPr>
              <w:numPr>
                <w:ilvl w:val="0"/>
                <w:numId w:val="10"/>
              </w:numPr>
              <w:spacing w:after="0"/>
              <w:rPr>
                <w:rFonts w:asciiTheme="minorHAnsi" w:hAnsiTheme="minorHAnsi" w:cs="Arial"/>
                <w:szCs w:val="18"/>
              </w:rPr>
            </w:pPr>
            <w:r w:rsidRPr="009A33E7">
              <w:rPr>
                <w:rFonts w:asciiTheme="minorHAnsi" w:hAnsiTheme="minorHAnsi" w:cs="Arial"/>
                <w:szCs w:val="18"/>
              </w:rPr>
              <w:t xml:space="preserve">Libraries </w:t>
            </w:r>
          </w:p>
          <w:p w14:paraId="0485EF3D" w14:textId="77777777" w:rsidR="0094646C" w:rsidRPr="009A33E7" w:rsidRDefault="0094646C" w:rsidP="00184432">
            <w:pPr>
              <w:numPr>
                <w:ilvl w:val="0"/>
                <w:numId w:val="10"/>
              </w:numPr>
              <w:spacing w:after="0"/>
              <w:rPr>
                <w:rFonts w:asciiTheme="minorHAnsi" w:hAnsiTheme="minorHAnsi" w:cs="Arial"/>
                <w:szCs w:val="18"/>
              </w:rPr>
            </w:pPr>
            <w:r w:rsidRPr="009A33E7">
              <w:rPr>
                <w:rFonts w:asciiTheme="minorHAnsi" w:hAnsiTheme="minorHAnsi" w:cs="Arial"/>
                <w:szCs w:val="18"/>
              </w:rPr>
              <w:t>Museums</w:t>
            </w:r>
          </w:p>
          <w:p w14:paraId="2137AF95" w14:textId="77777777" w:rsidR="0094646C" w:rsidRPr="009A33E7" w:rsidRDefault="0094646C" w:rsidP="0094646C">
            <w:pPr>
              <w:spacing w:after="0"/>
              <w:ind w:left="720"/>
              <w:rPr>
                <w:rFonts w:asciiTheme="minorHAnsi" w:hAnsiTheme="minorHAnsi" w:cs="Arial"/>
                <w:szCs w:val="18"/>
              </w:rPr>
            </w:pPr>
          </w:p>
        </w:tc>
        <w:tc>
          <w:tcPr>
            <w:tcW w:w="480" w:type="pct"/>
            <w:shd w:val="clear" w:color="auto" w:fill="auto"/>
          </w:tcPr>
          <w:p w14:paraId="7057B859" w14:textId="77777777" w:rsidR="0094646C" w:rsidRPr="009A33E7" w:rsidRDefault="0094646C" w:rsidP="0094646C">
            <w:pPr>
              <w:jc w:val="center"/>
              <w:rPr>
                <w:rFonts w:asciiTheme="minorHAnsi" w:hAnsiTheme="minorHAnsi" w:cs="Arial"/>
                <w:szCs w:val="18"/>
              </w:rPr>
            </w:pPr>
          </w:p>
          <w:p w14:paraId="70482AA3" w14:textId="13E82C89"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4</w:t>
            </w:r>
            <w:r w:rsidR="00DA7A63">
              <w:rPr>
                <w:rFonts w:asciiTheme="minorHAnsi" w:hAnsiTheme="minorHAnsi" w:cs="Arial"/>
                <w:szCs w:val="18"/>
              </w:rPr>
              <w:t>8</w:t>
            </w:r>
          </w:p>
        </w:tc>
        <w:tc>
          <w:tcPr>
            <w:tcW w:w="684" w:type="pct"/>
            <w:shd w:val="clear" w:color="auto" w:fill="auto"/>
          </w:tcPr>
          <w:p w14:paraId="1B98963E" w14:textId="77777777" w:rsidR="0094646C" w:rsidRPr="009A33E7" w:rsidRDefault="0094646C" w:rsidP="0094646C">
            <w:pPr>
              <w:jc w:val="center"/>
              <w:rPr>
                <w:rFonts w:asciiTheme="minorHAnsi" w:hAnsiTheme="minorHAnsi" w:cs="Arial"/>
                <w:szCs w:val="18"/>
              </w:rPr>
            </w:pPr>
          </w:p>
          <w:p w14:paraId="47C89912" w14:textId="27291423"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4</w:t>
            </w:r>
            <w:r w:rsidR="00DA7A63">
              <w:rPr>
                <w:rFonts w:asciiTheme="minorHAnsi" w:hAnsiTheme="minorHAnsi" w:cs="Arial"/>
                <w:szCs w:val="18"/>
              </w:rPr>
              <w:t>6</w:t>
            </w:r>
          </w:p>
        </w:tc>
        <w:tc>
          <w:tcPr>
            <w:tcW w:w="912" w:type="pct"/>
            <w:shd w:val="clear" w:color="auto" w:fill="auto"/>
          </w:tcPr>
          <w:p w14:paraId="75A52B7E" w14:textId="77777777" w:rsidR="0094646C" w:rsidRPr="009A33E7" w:rsidRDefault="0094646C" w:rsidP="0094646C">
            <w:pPr>
              <w:jc w:val="center"/>
              <w:rPr>
                <w:rFonts w:asciiTheme="minorHAnsi" w:hAnsiTheme="minorHAnsi" w:cs="Arial"/>
                <w:szCs w:val="18"/>
              </w:rPr>
            </w:pPr>
          </w:p>
          <w:p w14:paraId="5C826673" w14:textId="77777777"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2</w:t>
            </w:r>
          </w:p>
        </w:tc>
        <w:tc>
          <w:tcPr>
            <w:tcW w:w="1216" w:type="pct"/>
            <w:shd w:val="clear" w:color="auto" w:fill="auto"/>
          </w:tcPr>
          <w:p w14:paraId="11A1365A" w14:textId="77777777" w:rsidR="0094646C" w:rsidRPr="009A33E7" w:rsidRDefault="0094646C" w:rsidP="0094646C">
            <w:pPr>
              <w:jc w:val="center"/>
              <w:rPr>
                <w:rFonts w:asciiTheme="minorHAnsi" w:hAnsiTheme="minorHAnsi" w:cs="Arial"/>
                <w:szCs w:val="18"/>
              </w:rPr>
            </w:pPr>
          </w:p>
          <w:p w14:paraId="70AED5BC" w14:textId="39474BFC"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1</w:t>
            </w:r>
            <w:r w:rsidR="00A536B3">
              <w:rPr>
                <w:rFonts w:asciiTheme="minorHAnsi" w:hAnsiTheme="minorHAnsi" w:cs="Arial"/>
                <w:szCs w:val="18"/>
              </w:rPr>
              <w:t>39</w:t>
            </w:r>
            <w:r w:rsidRPr="009A33E7">
              <w:rPr>
                <w:rFonts w:asciiTheme="minorHAnsi" w:hAnsiTheme="minorHAnsi" w:cs="Arial"/>
                <w:szCs w:val="18"/>
              </w:rPr>
              <w:t>,</w:t>
            </w:r>
            <w:r w:rsidR="00A536B3">
              <w:rPr>
                <w:rFonts w:asciiTheme="minorHAnsi" w:hAnsiTheme="minorHAnsi" w:cs="Arial"/>
                <w:szCs w:val="18"/>
              </w:rPr>
              <w:t>507</w:t>
            </w:r>
          </w:p>
        </w:tc>
      </w:tr>
      <w:tr w:rsidR="0094646C" w:rsidRPr="002D7C7B" w14:paraId="35412427" w14:textId="77777777" w:rsidTr="0094646C">
        <w:tc>
          <w:tcPr>
            <w:tcW w:w="1708" w:type="pct"/>
            <w:shd w:val="clear" w:color="auto" w:fill="auto"/>
          </w:tcPr>
          <w:p w14:paraId="0DE6B075"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Health &amp; Social Care</w:t>
            </w:r>
          </w:p>
          <w:p w14:paraId="660C26E2" w14:textId="77777777" w:rsidR="0094646C" w:rsidRPr="009A33E7" w:rsidRDefault="0094646C" w:rsidP="00184432">
            <w:pPr>
              <w:numPr>
                <w:ilvl w:val="0"/>
                <w:numId w:val="11"/>
              </w:numPr>
              <w:spacing w:after="0"/>
              <w:rPr>
                <w:rFonts w:asciiTheme="minorHAnsi" w:hAnsiTheme="minorHAnsi" w:cs="Arial"/>
                <w:szCs w:val="18"/>
              </w:rPr>
            </w:pPr>
            <w:r w:rsidRPr="009A33E7">
              <w:rPr>
                <w:rFonts w:asciiTheme="minorHAnsi" w:hAnsiTheme="minorHAnsi" w:cs="Arial"/>
                <w:szCs w:val="18"/>
              </w:rPr>
              <w:t>Residential Homes</w:t>
            </w:r>
          </w:p>
          <w:p w14:paraId="7B3C96A5" w14:textId="77777777" w:rsidR="0094646C" w:rsidRPr="009A33E7" w:rsidRDefault="0094646C" w:rsidP="00184432">
            <w:pPr>
              <w:numPr>
                <w:ilvl w:val="0"/>
                <w:numId w:val="11"/>
              </w:numPr>
              <w:spacing w:after="0"/>
              <w:rPr>
                <w:rFonts w:asciiTheme="minorHAnsi" w:hAnsiTheme="minorHAnsi" w:cs="Arial"/>
                <w:szCs w:val="18"/>
              </w:rPr>
            </w:pPr>
            <w:r w:rsidRPr="009A33E7">
              <w:rPr>
                <w:rFonts w:asciiTheme="minorHAnsi" w:hAnsiTheme="minorHAnsi" w:cs="Arial"/>
                <w:szCs w:val="18"/>
              </w:rPr>
              <w:t>Resource Centres</w:t>
            </w:r>
          </w:p>
          <w:p w14:paraId="5E6C4362" w14:textId="77777777" w:rsidR="0094646C" w:rsidRPr="009A33E7" w:rsidRDefault="0094646C" w:rsidP="00184432">
            <w:pPr>
              <w:numPr>
                <w:ilvl w:val="0"/>
                <w:numId w:val="11"/>
              </w:numPr>
              <w:spacing w:after="0"/>
              <w:rPr>
                <w:rFonts w:asciiTheme="minorHAnsi" w:hAnsiTheme="minorHAnsi" w:cs="Arial"/>
                <w:szCs w:val="18"/>
              </w:rPr>
            </w:pPr>
            <w:r w:rsidRPr="009A33E7">
              <w:rPr>
                <w:rFonts w:asciiTheme="minorHAnsi" w:hAnsiTheme="minorHAnsi" w:cs="Arial"/>
                <w:szCs w:val="18"/>
              </w:rPr>
              <w:t>Shared Facilities</w:t>
            </w:r>
          </w:p>
          <w:p w14:paraId="7A61E1C9" w14:textId="77777777" w:rsidR="0094646C" w:rsidRPr="009A33E7" w:rsidRDefault="0094646C" w:rsidP="0094646C">
            <w:pPr>
              <w:spacing w:after="0"/>
              <w:ind w:left="720"/>
              <w:rPr>
                <w:rFonts w:asciiTheme="minorHAnsi" w:hAnsiTheme="minorHAnsi" w:cs="Arial"/>
                <w:szCs w:val="18"/>
              </w:rPr>
            </w:pPr>
          </w:p>
        </w:tc>
        <w:tc>
          <w:tcPr>
            <w:tcW w:w="480" w:type="pct"/>
            <w:shd w:val="clear" w:color="auto" w:fill="auto"/>
          </w:tcPr>
          <w:p w14:paraId="181FDE66" w14:textId="77777777" w:rsidR="0094646C" w:rsidRPr="009A33E7" w:rsidRDefault="0094646C" w:rsidP="0094646C">
            <w:pPr>
              <w:jc w:val="center"/>
              <w:rPr>
                <w:rFonts w:asciiTheme="minorHAnsi" w:hAnsiTheme="minorHAnsi" w:cs="Arial"/>
                <w:szCs w:val="18"/>
              </w:rPr>
            </w:pPr>
          </w:p>
          <w:p w14:paraId="19A3A4A2" w14:textId="43B8CD18"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1</w:t>
            </w:r>
            <w:r w:rsidR="00A536B3">
              <w:rPr>
                <w:rFonts w:asciiTheme="minorHAnsi" w:hAnsiTheme="minorHAnsi" w:cs="Arial"/>
                <w:szCs w:val="18"/>
              </w:rPr>
              <w:t>5</w:t>
            </w:r>
          </w:p>
        </w:tc>
        <w:tc>
          <w:tcPr>
            <w:tcW w:w="684" w:type="pct"/>
            <w:shd w:val="clear" w:color="auto" w:fill="auto"/>
          </w:tcPr>
          <w:p w14:paraId="35EF8975" w14:textId="77777777" w:rsidR="0094646C" w:rsidRPr="009A33E7" w:rsidRDefault="0094646C" w:rsidP="0094646C">
            <w:pPr>
              <w:jc w:val="center"/>
              <w:rPr>
                <w:rFonts w:asciiTheme="minorHAnsi" w:hAnsiTheme="minorHAnsi" w:cs="Arial"/>
                <w:szCs w:val="18"/>
              </w:rPr>
            </w:pPr>
          </w:p>
          <w:p w14:paraId="41792698" w14:textId="54C0366E"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1</w:t>
            </w:r>
            <w:r w:rsidR="00A536B3">
              <w:rPr>
                <w:rFonts w:asciiTheme="minorHAnsi" w:hAnsiTheme="minorHAnsi" w:cs="Arial"/>
                <w:szCs w:val="18"/>
              </w:rPr>
              <w:t>3</w:t>
            </w:r>
          </w:p>
        </w:tc>
        <w:tc>
          <w:tcPr>
            <w:tcW w:w="912" w:type="pct"/>
            <w:shd w:val="clear" w:color="auto" w:fill="auto"/>
          </w:tcPr>
          <w:p w14:paraId="5FCA6DEF" w14:textId="77777777" w:rsidR="0094646C" w:rsidRPr="009A33E7" w:rsidRDefault="0094646C" w:rsidP="0094646C">
            <w:pPr>
              <w:jc w:val="center"/>
              <w:rPr>
                <w:rFonts w:asciiTheme="minorHAnsi" w:hAnsiTheme="minorHAnsi" w:cs="Arial"/>
                <w:szCs w:val="18"/>
              </w:rPr>
            </w:pPr>
          </w:p>
          <w:p w14:paraId="73E8460F" w14:textId="11193DF5" w:rsidR="0094646C" w:rsidRPr="009A33E7" w:rsidRDefault="00A536B3" w:rsidP="0094646C">
            <w:pPr>
              <w:jc w:val="center"/>
              <w:rPr>
                <w:rFonts w:asciiTheme="minorHAnsi" w:hAnsiTheme="minorHAnsi" w:cs="Arial"/>
                <w:szCs w:val="18"/>
              </w:rPr>
            </w:pPr>
            <w:r>
              <w:rPr>
                <w:rFonts w:asciiTheme="minorHAnsi" w:hAnsiTheme="minorHAnsi" w:cs="Arial"/>
                <w:szCs w:val="18"/>
              </w:rPr>
              <w:t>2</w:t>
            </w:r>
          </w:p>
        </w:tc>
        <w:tc>
          <w:tcPr>
            <w:tcW w:w="1216" w:type="pct"/>
            <w:shd w:val="clear" w:color="auto" w:fill="auto"/>
          </w:tcPr>
          <w:p w14:paraId="30D49E4B" w14:textId="77777777" w:rsidR="0094646C" w:rsidRPr="009A33E7" w:rsidRDefault="0094646C" w:rsidP="0094646C">
            <w:pPr>
              <w:jc w:val="center"/>
              <w:rPr>
                <w:rFonts w:asciiTheme="minorHAnsi" w:hAnsiTheme="minorHAnsi" w:cs="Arial"/>
                <w:szCs w:val="18"/>
              </w:rPr>
            </w:pPr>
          </w:p>
          <w:p w14:paraId="67C96C00" w14:textId="7EAA2FD6" w:rsidR="0094646C" w:rsidRPr="009A33E7" w:rsidRDefault="00A536B3" w:rsidP="0094646C">
            <w:pPr>
              <w:jc w:val="center"/>
              <w:rPr>
                <w:rFonts w:asciiTheme="minorHAnsi" w:hAnsiTheme="minorHAnsi" w:cs="Arial"/>
                <w:szCs w:val="18"/>
              </w:rPr>
            </w:pPr>
            <w:r>
              <w:rPr>
                <w:rFonts w:asciiTheme="minorHAnsi" w:hAnsiTheme="minorHAnsi" w:cs="Arial"/>
                <w:szCs w:val="18"/>
              </w:rPr>
              <w:t>9</w:t>
            </w:r>
            <w:r w:rsidR="0094646C" w:rsidRPr="009A33E7">
              <w:rPr>
                <w:rFonts w:asciiTheme="minorHAnsi" w:hAnsiTheme="minorHAnsi" w:cs="Arial"/>
                <w:szCs w:val="18"/>
              </w:rPr>
              <w:t>,</w:t>
            </w:r>
            <w:r>
              <w:rPr>
                <w:rFonts w:asciiTheme="minorHAnsi" w:hAnsiTheme="minorHAnsi" w:cs="Arial"/>
                <w:szCs w:val="18"/>
              </w:rPr>
              <w:t>999</w:t>
            </w:r>
          </w:p>
        </w:tc>
      </w:tr>
      <w:tr w:rsidR="0094646C" w:rsidRPr="002D7C7B" w14:paraId="60E08983" w14:textId="77777777" w:rsidTr="0094646C">
        <w:tc>
          <w:tcPr>
            <w:tcW w:w="1708" w:type="pct"/>
            <w:shd w:val="clear" w:color="auto" w:fill="auto"/>
          </w:tcPr>
          <w:p w14:paraId="1F14B214"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Leisure &amp; Communities</w:t>
            </w:r>
          </w:p>
          <w:p w14:paraId="78006ECC" w14:textId="77777777" w:rsidR="0094646C" w:rsidRPr="009A33E7" w:rsidRDefault="0094646C" w:rsidP="00184432">
            <w:pPr>
              <w:numPr>
                <w:ilvl w:val="0"/>
                <w:numId w:val="12"/>
              </w:numPr>
              <w:spacing w:after="0"/>
              <w:rPr>
                <w:rFonts w:asciiTheme="minorHAnsi" w:hAnsiTheme="minorHAnsi" w:cs="Arial"/>
                <w:szCs w:val="18"/>
              </w:rPr>
            </w:pPr>
            <w:r w:rsidRPr="009A33E7">
              <w:rPr>
                <w:rFonts w:asciiTheme="minorHAnsi" w:hAnsiTheme="minorHAnsi" w:cs="Arial"/>
                <w:szCs w:val="18"/>
              </w:rPr>
              <w:t>Gyms; Pools; Cinema</w:t>
            </w:r>
          </w:p>
          <w:p w14:paraId="43A77787" w14:textId="77777777" w:rsidR="0094646C" w:rsidRPr="009A33E7" w:rsidRDefault="0094646C" w:rsidP="00184432">
            <w:pPr>
              <w:numPr>
                <w:ilvl w:val="0"/>
                <w:numId w:val="12"/>
              </w:numPr>
              <w:spacing w:after="0"/>
              <w:rPr>
                <w:rFonts w:asciiTheme="minorHAnsi" w:hAnsiTheme="minorHAnsi" w:cs="Arial"/>
                <w:szCs w:val="18"/>
              </w:rPr>
            </w:pPr>
            <w:r w:rsidRPr="009A33E7">
              <w:rPr>
                <w:rFonts w:asciiTheme="minorHAnsi" w:hAnsiTheme="minorHAnsi" w:cs="Arial"/>
                <w:szCs w:val="18"/>
              </w:rPr>
              <w:t>Community Halls</w:t>
            </w:r>
          </w:p>
          <w:p w14:paraId="0AA153C8" w14:textId="77777777" w:rsidR="0094646C" w:rsidRPr="009A33E7" w:rsidRDefault="0094646C" w:rsidP="00184432">
            <w:pPr>
              <w:numPr>
                <w:ilvl w:val="0"/>
                <w:numId w:val="12"/>
              </w:numPr>
              <w:spacing w:after="0"/>
              <w:rPr>
                <w:rFonts w:asciiTheme="minorHAnsi" w:hAnsiTheme="minorHAnsi" w:cs="Arial"/>
                <w:szCs w:val="18"/>
              </w:rPr>
            </w:pPr>
            <w:r w:rsidRPr="009A33E7">
              <w:rPr>
                <w:rFonts w:asciiTheme="minorHAnsi" w:hAnsiTheme="minorHAnsi" w:cs="Arial"/>
                <w:szCs w:val="18"/>
              </w:rPr>
              <w:t>Bowling Clubs</w:t>
            </w:r>
          </w:p>
          <w:p w14:paraId="6A17DC0C" w14:textId="77777777" w:rsidR="0094646C" w:rsidRPr="009A33E7" w:rsidRDefault="0094646C" w:rsidP="00184432">
            <w:pPr>
              <w:numPr>
                <w:ilvl w:val="0"/>
                <w:numId w:val="12"/>
              </w:numPr>
              <w:spacing w:after="0"/>
              <w:rPr>
                <w:rFonts w:asciiTheme="minorHAnsi" w:hAnsiTheme="minorHAnsi" w:cs="Arial"/>
                <w:szCs w:val="18"/>
              </w:rPr>
            </w:pPr>
            <w:r w:rsidRPr="009A33E7">
              <w:rPr>
                <w:rFonts w:asciiTheme="minorHAnsi" w:hAnsiTheme="minorHAnsi" w:cs="Arial"/>
                <w:szCs w:val="18"/>
              </w:rPr>
              <w:t>Golf Club</w:t>
            </w:r>
          </w:p>
          <w:p w14:paraId="3061A1A3" w14:textId="77777777" w:rsidR="0094646C" w:rsidRPr="009A33E7" w:rsidRDefault="0094646C" w:rsidP="0094646C">
            <w:pPr>
              <w:spacing w:after="0"/>
              <w:ind w:left="720"/>
              <w:rPr>
                <w:rFonts w:asciiTheme="minorHAnsi" w:hAnsiTheme="minorHAnsi" w:cs="Arial"/>
                <w:szCs w:val="18"/>
              </w:rPr>
            </w:pPr>
          </w:p>
        </w:tc>
        <w:tc>
          <w:tcPr>
            <w:tcW w:w="480" w:type="pct"/>
            <w:shd w:val="clear" w:color="auto" w:fill="auto"/>
          </w:tcPr>
          <w:p w14:paraId="2C82A58F" w14:textId="77777777" w:rsidR="0094646C" w:rsidRPr="009A33E7" w:rsidRDefault="0094646C" w:rsidP="0094646C">
            <w:pPr>
              <w:jc w:val="center"/>
              <w:rPr>
                <w:rFonts w:asciiTheme="minorHAnsi" w:hAnsiTheme="minorHAnsi" w:cs="Arial"/>
                <w:szCs w:val="18"/>
              </w:rPr>
            </w:pPr>
          </w:p>
          <w:p w14:paraId="2B163365" w14:textId="77777777"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34</w:t>
            </w:r>
          </w:p>
        </w:tc>
        <w:tc>
          <w:tcPr>
            <w:tcW w:w="684" w:type="pct"/>
            <w:shd w:val="clear" w:color="auto" w:fill="auto"/>
          </w:tcPr>
          <w:p w14:paraId="0DBE785F" w14:textId="77777777" w:rsidR="0094646C" w:rsidRPr="009A33E7" w:rsidRDefault="0094646C" w:rsidP="0094646C">
            <w:pPr>
              <w:jc w:val="center"/>
              <w:rPr>
                <w:rFonts w:asciiTheme="minorHAnsi" w:hAnsiTheme="minorHAnsi" w:cs="Arial"/>
                <w:szCs w:val="18"/>
              </w:rPr>
            </w:pPr>
          </w:p>
          <w:p w14:paraId="5F1C7D59" w14:textId="4FC4E309" w:rsidR="0094646C" w:rsidRPr="009A33E7" w:rsidRDefault="00A536B3" w:rsidP="0094646C">
            <w:pPr>
              <w:jc w:val="center"/>
              <w:rPr>
                <w:rFonts w:asciiTheme="minorHAnsi" w:hAnsiTheme="minorHAnsi" w:cs="Arial"/>
                <w:szCs w:val="18"/>
              </w:rPr>
            </w:pPr>
            <w:r>
              <w:rPr>
                <w:rFonts w:asciiTheme="minorHAnsi" w:hAnsiTheme="minorHAnsi" w:cs="Arial"/>
                <w:szCs w:val="18"/>
              </w:rPr>
              <w:t>32</w:t>
            </w:r>
          </w:p>
        </w:tc>
        <w:tc>
          <w:tcPr>
            <w:tcW w:w="912" w:type="pct"/>
            <w:shd w:val="clear" w:color="auto" w:fill="auto"/>
          </w:tcPr>
          <w:p w14:paraId="630198F2" w14:textId="77777777" w:rsidR="0094646C" w:rsidRPr="009A33E7" w:rsidRDefault="0094646C" w:rsidP="0094646C">
            <w:pPr>
              <w:jc w:val="center"/>
              <w:rPr>
                <w:rFonts w:asciiTheme="minorHAnsi" w:hAnsiTheme="minorHAnsi" w:cs="Arial"/>
                <w:szCs w:val="18"/>
              </w:rPr>
            </w:pPr>
          </w:p>
          <w:p w14:paraId="4F555F0B" w14:textId="2385CC6B" w:rsidR="0094646C" w:rsidRPr="009A33E7" w:rsidRDefault="00A536B3" w:rsidP="0094646C">
            <w:pPr>
              <w:jc w:val="center"/>
              <w:rPr>
                <w:rFonts w:asciiTheme="minorHAnsi" w:hAnsiTheme="minorHAnsi" w:cs="Arial"/>
                <w:szCs w:val="18"/>
              </w:rPr>
            </w:pPr>
            <w:r>
              <w:rPr>
                <w:rFonts w:asciiTheme="minorHAnsi" w:hAnsiTheme="minorHAnsi" w:cs="Arial"/>
                <w:szCs w:val="18"/>
              </w:rPr>
              <w:t>2</w:t>
            </w:r>
          </w:p>
        </w:tc>
        <w:tc>
          <w:tcPr>
            <w:tcW w:w="1216" w:type="pct"/>
            <w:shd w:val="clear" w:color="auto" w:fill="auto"/>
          </w:tcPr>
          <w:p w14:paraId="192C0EC0" w14:textId="77777777" w:rsidR="0094646C" w:rsidRPr="009A33E7" w:rsidRDefault="0094646C" w:rsidP="0094646C">
            <w:pPr>
              <w:jc w:val="center"/>
              <w:rPr>
                <w:rFonts w:asciiTheme="minorHAnsi" w:hAnsiTheme="minorHAnsi" w:cs="Arial"/>
                <w:szCs w:val="18"/>
              </w:rPr>
            </w:pPr>
          </w:p>
          <w:p w14:paraId="4A3EA8DA" w14:textId="43F4B02B"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3</w:t>
            </w:r>
            <w:r w:rsidR="00A536B3">
              <w:rPr>
                <w:rFonts w:asciiTheme="minorHAnsi" w:hAnsiTheme="minorHAnsi" w:cs="Arial"/>
                <w:szCs w:val="18"/>
              </w:rPr>
              <w:t>6</w:t>
            </w:r>
            <w:r w:rsidRPr="009A33E7">
              <w:rPr>
                <w:rFonts w:asciiTheme="minorHAnsi" w:hAnsiTheme="minorHAnsi" w:cs="Arial"/>
                <w:szCs w:val="18"/>
              </w:rPr>
              <w:t>,</w:t>
            </w:r>
            <w:r w:rsidR="00A536B3">
              <w:rPr>
                <w:rFonts w:asciiTheme="minorHAnsi" w:hAnsiTheme="minorHAnsi" w:cs="Arial"/>
                <w:szCs w:val="18"/>
              </w:rPr>
              <w:t>298</w:t>
            </w:r>
          </w:p>
        </w:tc>
      </w:tr>
      <w:tr w:rsidR="0094646C" w:rsidRPr="002D7C7B" w14:paraId="2C63B691" w14:textId="77777777" w:rsidTr="0094646C">
        <w:tc>
          <w:tcPr>
            <w:tcW w:w="1708" w:type="pct"/>
            <w:shd w:val="clear" w:color="auto" w:fill="auto"/>
          </w:tcPr>
          <w:p w14:paraId="21084A06"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Depots &amp; Industrial</w:t>
            </w:r>
          </w:p>
          <w:p w14:paraId="560C7D14" w14:textId="77777777" w:rsidR="0094646C" w:rsidRPr="009A33E7" w:rsidRDefault="0094646C" w:rsidP="00184432">
            <w:pPr>
              <w:numPr>
                <w:ilvl w:val="0"/>
                <w:numId w:val="13"/>
              </w:numPr>
              <w:spacing w:after="0"/>
              <w:rPr>
                <w:rFonts w:asciiTheme="minorHAnsi" w:hAnsiTheme="minorHAnsi" w:cs="Arial"/>
                <w:szCs w:val="18"/>
              </w:rPr>
            </w:pPr>
            <w:r w:rsidRPr="009A33E7">
              <w:rPr>
                <w:rFonts w:asciiTheme="minorHAnsi" w:hAnsiTheme="minorHAnsi" w:cs="Arial"/>
                <w:szCs w:val="18"/>
              </w:rPr>
              <w:t>Depots</w:t>
            </w:r>
          </w:p>
          <w:p w14:paraId="38274B3F" w14:textId="77777777" w:rsidR="0094646C" w:rsidRPr="009A33E7" w:rsidRDefault="0094646C" w:rsidP="00184432">
            <w:pPr>
              <w:numPr>
                <w:ilvl w:val="0"/>
                <w:numId w:val="13"/>
              </w:numPr>
              <w:spacing w:after="0"/>
              <w:rPr>
                <w:rFonts w:asciiTheme="minorHAnsi" w:hAnsiTheme="minorHAnsi" w:cs="Arial"/>
                <w:szCs w:val="18"/>
              </w:rPr>
            </w:pPr>
            <w:r w:rsidRPr="009A33E7">
              <w:rPr>
                <w:rFonts w:asciiTheme="minorHAnsi" w:hAnsiTheme="minorHAnsi" w:cs="Arial"/>
                <w:szCs w:val="18"/>
              </w:rPr>
              <w:t>Industrial Units</w:t>
            </w:r>
          </w:p>
          <w:p w14:paraId="567E87B4" w14:textId="77777777" w:rsidR="0094646C" w:rsidRPr="009A33E7" w:rsidRDefault="0094646C" w:rsidP="0094646C">
            <w:pPr>
              <w:spacing w:after="0"/>
              <w:ind w:left="720"/>
              <w:rPr>
                <w:rFonts w:asciiTheme="minorHAnsi" w:hAnsiTheme="minorHAnsi" w:cs="Arial"/>
                <w:szCs w:val="18"/>
              </w:rPr>
            </w:pPr>
          </w:p>
        </w:tc>
        <w:tc>
          <w:tcPr>
            <w:tcW w:w="480" w:type="pct"/>
            <w:shd w:val="clear" w:color="auto" w:fill="auto"/>
          </w:tcPr>
          <w:p w14:paraId="4F28D9BC" w14:textId="77777777" w:rsidR="0094646C" w:rsidRPr="009A33E7" w:rsidRDefault="0094646C" w:rsidP="0094646C">
            <w:pPr>
              <w:jc w:val="center"/>
              <w:rPr>
                <w:rFonts w:asciiTheme="minorHAnsi" w:hAnsiTheme="minorHAnsi" w:cs="Arial"/>
                <w:szCs w:val="18"/>
              </w:rPr>
            </w:pPr>
          </w:p>
          <w:p w14:paraId="6D35D6DD" w14:textId="5588FF1D" w:rsidR="0094646C" w:rsidRPr="009A33E7" w:rsidRDefault="00A536B3" w:rsidP="0094646C">
            <w:pPr>
              <w:jc w:val="center"/>
              <w:rPr>
                <w:rFonts w:asciiTheme="minorHAnsi" w:hAnsiTheme="minorHAnsi" w:cs="Arial"/>
                <w:szCs w:val="18"/>
              </w:rPr>
            </w:pPr>
            <w:r>
              <w:rPr>
                <w:rFonts w:asciiTheme="minorHAnsi" w:hAnsiTheme="minorHAnsi" w:cs="Arial"/>
                <w:szCs w:val="18"/>
              </w:rPr>
              <w:t>22</w:t>
            </w:r>
          </w:p>
        </w:tc>
        <w:tc>
          <w:tcPr>
            <w:tcW w:w="684" w:type="pct"/>
            <w:shd w:val="clear" w:color="auto" w:fill="auto"/>
          </w:tcPr>
          <w:p w14:paraId="4580C6C2" w14:textId="77777777" w:rsidR="0094646C" w:rsidRPr="009A33E7" w:rsidRDefault="0094646C" w:rsidP="0094646C">
            <w:pPr>
              <w:jc w:val="center"/>
              <w:rPr>
                <w:rFonts w:asciiTheme="minorHAnsi" w:hAnsiTheme="minorHAnsi" w:cs="Arial"/>
                <w:szCs w:val="18"/>
              </w:rPr>
            </w:pPr>
          </w:p>
          <w:p w14:paraId="7855DEA9" w14:textId="23A34A2E" w:rsidR="0094646C" w:rsidRPr="009A33E7" w:rsidRDefault="00A536B3" w:rsidP="0094646C">
            <w:pPr>
              <w:jc w:val="center"/>
              <w:rPr>
                <w:rFonts w:asciiTheme="minorHAnsi" w:hAnsiTheme="minorHAnsi" w:cs="Arial"/>
                <w:szCs w:val="18"/>
              </w:rPr>
            </w:pPr>
            <w:r>
              <w:rPr>
                <w:rFonts w:asciiTheme="minorHAnsi" w:hAnsiTheme="minorHAnsi" w:cs="Arial"/>
                <w:szCs w:val="18"/>
              </w:rPr>
              <w:t>22</w:t>
            </w:r>
          </w:p>
        </w:tc>
        <w:tc>
          <w:tcPr>
            <w:tcW w:w="912" w:type="pct"/>
            <w:shd w:val="clear" w:color="auto" w:fill="auto"/>
          </w:tcPr>
          <w:p w14:paraId="114BDF9A" w14:textId="77777777" w:rsidR="0094646C" w:rsidRPr="009A33E7" w:rsidRDefault="0094646C" w:rsidP="0094646C">
            <w:pPr>
              <w:jc w:val="center"/>
              <w:rPr>
                <w:rFonts w:asciiTheme="minorHAnsi" w:hAnsiTheme="minorHAnsi" w:cs="Arial"/>
                <w:szCs w:val="18"/>
              </w:rPr>
            </w:pPr>
          </w:p>
          <w:p w14:paraId="26CDC122" w14:textId="77777777" w:rsidR="0094646C" w:rsidRPr="009A33E7" w:rsidRDefault="0094646C" w:rsidP="0094646C">
            <w:pPr>
              <w:jc w:val="center"/>
              <w:rPr>
                <w:rFonts w:asciiTheme="minorHAnsi" w:hAnsiTheme="minorHAnsi" w:cs="Arial"/>
                <w:szCs w:val="18"/>
              </w:rPr>
            </w:pPr>
            <w:r w:rsidRPr="009A33E7">
              <w:rPr>
                <w:rFonts w:asciiTheme="minorHAnsi" w:hAnsiTheme="minorHAnsi" w:cs="Arial"/>
                <w:szCs w:val="18"/>
              </w:rPr>
              <w:t>0</w:t>
            </w:r>
          </w:p>
        </w:tc>
        <w:tc>
          <w:tcPr>
            <w:tcW w:w="1216" w:type="pct"/>
            <w:shd w:val="clear" w:color="auto" w:fill="auto"/>
          </w:tcPr>
          <w:p w14:paraId="3E76F2F1" w14:textId="77777777" w:rsidR="0094646C" w:rsidRPr="009A33E7" w:rsidRDefault="0094646C" w:rsidP="0094646C">
            <w:pPr>
              <w:jc w:val="center"/>
              <w:rPr>
                <w:rFonts w:asciiTheme="minorHAnsi" w:hAnsiTheme="minorHAnsi" w:cs="Arial"/>
                <w:szCs w:val="18"/>
              </w:rPr>
            </w:pPr>
          </w:p>
          <w:p w14:paraId="7452ED3A" w14:textId="0021A13F" w:rsidR="0094646C" w:rsidRPr="009A33E7" w:rsidRDefault="00A536B3" w:rsidP="0094646C">
            <w:pPr>
              <w:jc w:val="center"/>
              <w:rPr>
                <w:rFonts w:asciiTheme="minorHAnsi" w:hAnsiTheme="minorHAnsi" w:cs="Arial"/>
                <w:szCs w:val="18"/>
              </w:rPr>
            </w:pPr>
            <w:r>
              <w:rPr>
                <w:rFonts w:asciiTheme="minorHAnsi" w:hAnsiTheme="minorHAnsi" w:cs="Arial"/>
                <w:szCs w:val="18"/>
              </w:rPr>
              <w:t>20</w:t>
            </w:r>
            <w:r w:rsidR="0094646C" w:rsidRPr="009A33E7">
              <w:rPr>
                <w:rFonts w:asciiTheme="minorHAnsi" w:hAnsiTheme="minorHAnsi" w:cs="Arial"/>
                <w:szCs w:val="18"/>
              </w:rPr>
              <w:t>,8</w:t>
            </w:r>
            <w:r>
              <w:rPr>
                <w:rFonts w:asciiTheme="minorHAnsi" w:hAnsiTheme="minorHAnsi" w:cs="Arial"/>
                <w:szCs w:val="18"/>
              </w:rPr>
              <w:t>13</w:t>
            </w:r>
          </w:p>
        </w:tc>
      </w:tr>
      <w:tr w:rsidR="0094646C" w:rsidRPr="002D7C7B" w14:paraId="0D606152" w14:textId="77777777" w:rsidTr="0094646C">
        <w:tc>
          <w:tcPr>
            <w:tcW w:w="1708" w:type="pct"/>
            <w:tcBorders>
              <w:bottom w:val="single" w:sz="4" w:space="0" w:color="auto"/>
            </w:tcBorders>
            <w:shd w:val="clear" w:color="auto" w:fill="auto"/>
          </w:tcPr>
          <w:p w14:paraId="085FB31E" w14:textId="77777777" w:rsidR="0094646C" w:rsidRPr="009A33E7" w:rsidRDefault="0094646C" w:rsidP="0094646C">
            <w:pPr>
              <w:rPr>
                <w:rFonts w:asciiTheme="minorHAnsi" w:hAnsiTheme="minorHAnsi" w:cs="Arial"/>
                <w:szCs w:val="18"/>
              </w:rPr>
            </w:pPr>
            <w:r w:rsidRPr="009A33E7">
              <w:rPr>
                <w:rFonts w:asciiTheme="minorHAnsi" w:hAnsiTheme="minorHAnsi" w:cs="Arial"/>
                <w:szCs w:val="18"/>
              </w:rPr>
              <w:t>Environment</w:t>
            </w:r>
          </w:p>
          <w:p w14:paraId="5A674297" w14:textId="77777777" w:rsidR="0094646C" w:rsidRPr="009A33E7" w:rsidRDefault="0094646C" w:rsidP="00184432">
            <w:pPr>
              <w:numPr>
                <w:ilvl w:val="0"/>
                <w:numId w:val="14"/>
              </w:numPr>
              <w:spacing w:after="0"/>
              <w:rPr>
                <w:rFonts w:asciiTheme="minorHAnsi" w:hAnsiTheme="minorHAnsi" w:cs="Arial"/>
                <w:szCs w:val="18"/>
              </w:rPr>
            </w:pPr>
            <w:r w:rsidRPr="009A33E7">
              <w:rPr>
                <w:rFonts w:asciiTheme="minorHAnsi" w:hAnsiTheme="minorHAnsi" w:cs="Arial"/>
                <w:szCs w:val="18"/>
              </w:rPr>
              <w:t>Cemetery Buildings</w:t>
            </w:r>
          </w:p>
          <w:p w14:paraId="467279A4" w14:textId="77777777" w:rsidR="0094646C" w:rsidRPr="009A33E7" w:rsidRDefault="0094646C" w:rsidP="00184432">
            <w:pPr>
              <w:numPr>
                <w:ilvl w:val="0"/>
                <w:numId w:val="14"/>
              </w:numPr>
              <w:spacing w:after="0"/>
              <w:rPr>
                <w:rFonts w:asciiTheme="minorHAnsi" w:hAnsiTheme="minorHAnsi" w:cs="Arial"/>
                <w:szCs w:val="18"/>
              </w:rPr>
            </w:pPr>
            <w:r w:rsidRPr="009A33E7">
              <w:rPr>
                <w:rFonts w:asciiTheme="minorHAnsi" w:hAnsiTheme="minorHAnsi" w:cs="Arial"/>
                <w:szCs w:val="18"/>
              </w:rPr>
              <w:t>Parks Buildings</w:t>
            </w:r>
          </w:p>
          <w:p w14:paraId="30B159CD" w14:textId="77777777" w:rsidR="0094646C" w:rsidRPr="009A33E7" w:rsidRDefault="0094646C" w:rsidP="00184432">
            <w:pPr>
              <w:numPr>
                <w:ilvl w:val="0"/>
                <w:numId w:val="14"/>
              </w:numPr>
              <w:spacing w:after="0"/>
              <w:rPr>
                <w:rFonts w:asciiTheme="minorHAnsi" w:hAnsiTheme="minorHAnsi" w:cs="Arial"/>
                <w:szCs w:val="18"/>
              </w:rPr>
            </w:pPr>
            <w:r w:rsidRPr="009A33E7">
              <w:rPr>
                <w:rFonts w:asciiTheme="minorHAnsi" w:hAnsiTheme="minorHAnsi" w:cs="Arial"/>
                <w:szCs w:val="18"/>
              </w:rPr>
              <w:t>Public Conveniences</w:t>
            </w:r>
          </w:p>
          <w:p w14:paraId="1ECEE36B" w14:textId="77777777" w:rsidR="0094646C" w:rsidRPr="009A33E7" w:rsidRDefault="0094646C" w:rsidP="0094646C">
            <w:pPr>
              <w:spacing w:after="0"/>
              <w:ind w:left="720"/>
              <w:rPr>
                <w:rFonts w:asciiTheme="minorHAnsi" w:hAnsiTheme="minorHAnsi" w:cs="Arial"/>
                <w:szCs w:val="18"/>
              </w:rPr>
            </w:pPr>
          </w:p>
        </w:tc>
        <w:tc>
          <w:tcPr>
            <w:tcW w:w="480" w:type="pct"/>
            <w:tcBorders>
              <w:bottom w:val="single" w:sz="4" w:space="0" w:color="auto"/>
            </w:tcBorders>
            <w:shd w:val="clear" w:color="auto" w:fill="auto"/>
          </w:tcPr>
          <w:p w14:paraId="01F74077" w14:textId="77777777" w:rsidR="0094646C" w:rsidRPr="009A33E7" w:rsidRDefault="0094646C" w:rsidP="0094646C">
            <w:pPr>
              <w:jc w:val="center"/>
              <w:rPr>
                <w:rFonts w:asciiTheme="minorHAnsi" w:hAnsiTheme="minorHAnsi" w:cs="Arial"/>
                <w:szCs w:val="18"/>
              </w:rPr>
            </w:pPr>
          </w:p>
          <w:p w14:paraId="0570B860" w14:textId="099104B8" w:rsidR="0094646C" w:rsidRPr="009A33E7" w:rsidRDefault="00A536B3" w:rsidP="0094646C">
            <w:pPr>
              <w:jc w:val="center"/>
              <w:rPr>
                <w:rFonts w:asciiTheme="minorHAnsi" w:hAnsiTheme="minorHAnsi" w:cs="Arial"/>
                <w:szCs w:val="18"/>
              </w:rPr>
            </w:pPr>
            <w:r>
              <w:rPr>
                <w:rFonts w:asciiTheme="minorHAnsi" w:hAnsiTheme="minorHAnsi" w:cs="Arial"/>
                <w:szCs w:val="18"/>
              </w:rPr>
              <w:t>65</w:t>
            </w:r>
          </w:p>
        </w:tc>
        <w:tc>
          <w:tcPr>
            <w:tcW w:w="684" w:type="pct"/>
            <w:tcBorders>
              <w:bottom w:val="single" w:sz="4" w:space="0" w:color="auto"/>
            </w:tcBorders>
            <w:shd w:val="clear" w:color="auto" w:fill="auto"/>
          </w:tcPr>
          <w:p w14:paraId="505DF59F" w14:textId="77777777" w:rsidR="0094646C" w:rsidRPr="009A33E7" w:rsidRDefault="0094646C" w:rsidP="0094646C">
            <w:pPr>
              <w:jc w:val="center"/>
              <w:rPr>
                <w:rFonts w:asciiTheme="minorHAnsi" w:hAnsiTheme="minorHAnsi" w:cs="Arial"/>
                <w:szCs w:val="18"/>
              </w:rPr>
            </w:pPr>
          </w:p>
          <w:p w14:paraId="3FA4AED1" w14:textId="57F0F944" w:rsidR="0094646C" w:rsidRPr="009A33E7" w:rsidRDefault="00A536B3" w:rsidP="0094646C">
            <w:pPr>
              <w:jc w:val="center"/>
              <w:rPr>
                <w:rFonts w:asciiTheme="minorHAnsi" w:hAnsiTheme="minorHAnsi" w:cs="Arial"/>
                <w:szCs w:val="18"/>
              </w:rPr>
            </w:pPr>
            <w:r>
              <w:rPr>
                <w:rFonts w:asciiTheme="minorHAnsi" w:hAnsiTheme="minorHAnsi" w:cs="Arial"/>
                <w:szCs w:val="18"/>
              </w:rPr>
              <w:t>63</w:t>
            </w:r>
          </w:p>
        </w:tc>
        <w:tc>
          <w:tcPr>
            <w:tcW w:w="912" w:type="pct"/>
            <w:tcBorders>
              <w:bottom w:val="single" w:sz="4" w:space="0" w:color="auto"/>
            </w:tcBorders>
            <w:shd w:val="clear" w:color="auto" w:fill="auto"/>
          </w:tcPr>
          <w:p w14:paraId="2BD35F38" w14:textId="77777777" w:rsidR="0094646C" w:rsidRPr="009A33E7" w:rsidRDefault="0094646C" w:rsidP="0094646C">
            <w:pPr>
              <w:jc w:val="center"/>
              <w:rPr>
                <w:rFonts w:asciiTheme="minorHAnsi" w:hAnsiTheme="minorHAnsi" w:cs="Arial"/>
                <w:szCs w:val="18"/>
              </w:rPr>
            </w:pPr>
          </w:p>
          <w:p w14:paraId="66F8B245" w14:textId="03BD5475" w:rsidR="0094646C" w:rsidRPr="009A33E7" w:rsidRDefault="00A536B3" w:rsidP="0094646C">
            <w:pPr>
              <w:jc w:val="center"/>
              <w:rPr>
                <w:rFonts w:asciiTheme="minorHAnsi" w:hAnsiTheme="minorHAnsi" w:cs="Arial"/>
                <w:szCs w:val="18"/>
              </w:rPr>
            </w:pPr>
            <w:r>
              <w:rPr>
                <w:rFonts w:asciiTheme="minorHAnsi" w:hAnsiTheme="minorHAnsi" w:cs="Arial"/>
                <w:szCs w:val="18"/>
              </w:rPr>
              <w:t>2</w:t>
            </w:r>
          </w:p>
        </w:tc>
        <w:tc>
          <w:tcPr>
            <w:tcW w:w="1216" w:type="pct"/>
            <w:tcBorders>
              <w:bottom w:val="single" w:sz="4" w:space="0" w:color="auto"/>
            </w:tcBorders>
            <w:shd w:val="clear" w:color="auto" w:fill="auto"/>
          </w:tcPr>
          <w:p w14:paraId="6DDBF37B" w14:textId="77777777" w:rsidR="0094646C" w:rsidRPr="009A33E7" w:rsidRDefault="0094646C" w:rsidP="0094646C">
            <w:pPr>
              <w:jc w:val="center"/>
              <w:rPr>
                <w:rFonts w:asciiTheme="minorHAnsi" w:hAnsiTheme="minorHAnsi" w:cs="Arial"/>
                <w:szCs w:val="18"/>
              </w:rPr>
            </w:pPr>
          </w:p>
          <w:p w14:paraId="2A189D89" w14:textId="559911AA" w:rsidR="0094646C" w:rsidRPr="009A33E7" w:rsidRDefault="00A536B3" w:rsidP="0094646C">
            <w:pPr>
              <w:jc w:val="center"/>
              <w:rPr>
                <w:rFonts w:asciiTheme="minorHAnsi" w:hAnsiTheme="minorHAnsi" w:cs="Arial"/>
                <w:szCs w:val="18"/>
              </w:rPr>
            </w:pPr>
            <w:r>
              <w:rPr>
                <w:rFonts w:asciiTheme="minorHAnsi" w:hAnsiTheme="minorHAnsi" w:cs="Arial"/>
                <w:szCs w:val="18"/>
              </w:rPr>
              <w:t>27</w:t>
            </w:r>
            <w:r w:rsidR="0094646C" w:rsidRPr="009A33E7">
              <w:rPr>
                <w:rFonts w:asciiTheme="minorHAnsi" w:hAnsiTheme="minorHAnsi" w:cs="Arial"/>
                <w:szCs w:val="18"/>
              </w:rPr>
              <w:t>,</w:t>
            </w:r>
            <w:r>
              <w:rPr>
                <w:rFonts w:asciiTheme="minorHAnsi" w:hAnsiTheme="minorHAnsi" w:cs="Arial"/>
                <w:szCs w:val="18"/>
              </w:rPr>
              <w:t>52</w:t>
            </w:r>
            <w:r w:rsidR="0094646C" w:rsidRPr="009A33E7">
              <w:rPr>
                <w:rFonts w:asciiTheme="minorHAnsi" w:hAnsiTheme="minorHAnsi" w:cs="Arial"/>
                <w:szCs w:val="18"/>
              </w:rPr>
              <w:t>2</w:t>
            </w:r>
          </w:p>
        </w:tc>
      </w:tr>
      <w:tr w:rsidR="0094646C" w:rsidRPr="002D7C7B" w14:paraId="65DB3554" w14:textId="77777777" w:rsidTr="0094646C">
        <w:trPr>
          <w:trHeight w:val="612"/>
        </w:trPr>
        <w:tc>
          <w:tcPr>
            <w:tcW w:w="1708" w:type="pct"/>
            <w:shd w:val="clear" w:color="auto" w:fill="D9D9D9"/>
            <w:vAlign w:val="center"/>
          </w:tcPr>
          <w:p w14:paraId="45824461" w14:textId="77777777" w:rsidR="0094646C" w:rsidRPr="009A33E7" w:rsidRDefault="0094646C" w:rsidP="0094646C">
            <w:pPr>
              <w:rPr>
                <w:rFonts w:asciiTheme="minorHAnsi" w:hAnsiTheme="minorHAnsi" w:cs="Arial"/>
                <w:b/>
                <w:szCs w:val="18"/>
              </w:rPr>
            </w:pPr>
            <w:r w:rsidRPr="009A33E7">
              <w:rPr>
                <w:rFonts w:asciiTheme="minorHAnsi" w:hAnsiTheme="minorHAnsi" w:cs="Arial"/>
                <w:b/>
                <w:szCs w:val="18"/>
              </w:rPr>
              <w:t>Totals</w:t>
            </w:r>
          </w:p>
        </w:tc>
        <w:tc>
          <w:tcPr>
            <w:tcW w:w="480" w:type="pct"/>
            <w:shd w:val="clear" w:color="auto" w:fill="D9D9D9"/>
            <w:vAlign w:val="center"/>
          </w:tcPr>
          <w:p w14:paraId="318622EB" w14:textId="717BC649"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1</w:t>
            </w:r>
            <w:r w:rsidR="00A536B3">
              <w:rPr>
                <w:rFonts w:asciiTheme="minorHAnsi" w:hAnsiTheme="minorHAnsi" w:cs="Arial"/>
                <w:b/>
                <w:szCs w:val="18"/>
              </w:rPr>
              <w:t>94</w:t>
            </w:r>
          </w:p>
        </w:tc>
        <w:tc>
          <w:tcPr>
            <w:tcW w:w="684" w:type="pct"/>
            <w:shd w:val="clear" w:color="auto" w:fill="D9D9D9"/>
            <w:vAlign w:val="center"/>
          </w:tcPr>
          <w:p w14:paraId="01F65782" w14:textId="7C29012B"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1</w:t>
            </w:r>
            <w:r w:rsidR="00A536B3">
              <w:rPr>
                <w:rFonts w:asciiTheme="minorHAnsi" w:hAnsiTheme="minorHAnsi" w:cs="Arial"/>
                <w:b/>
                <w:szCs w:val="18"/>
              </w:rPr>
              <w:t>8</w:t>
            </w:r>
            <w:r w:rsidRPr="009A33E7">
              <w:rPr>
                <w:rFonts w:asciiTheme="minorHAnsi" w:hAnsiTheme="minorHAnsi" w:cs="Arial"/>
                <w:b/>
                <w:szCs w:val="18"/>
              </w:rPr>
              <w:t>3</w:t>
            </w:r>
          </w:p>
        </w:tc>
        <w:tc>
          <w:tcPr>
            <w:tcW w:w="912" w:type="pct"/>
            <w:shd w:val="clear" w:color="auto" w:fill="D9D9D9"/>
            <w:vAlign w:val="center"/>
          </w:tcPr>
          <w:p w14:paraId="6287CA4D" w14:textId="7BEE1363" w:rsidR="0094646C" w:rsidRPr="009A33E7" w:rsidRDefault="00A536B3" w:rsidP="0094646C">
            <w:pPr>
              <w:jc w:val="center"/>
              <w:rPr>
                <w:rFonts w:asciiTheme="minorHAnsi" w:hAnsiTheme="minorHAnsi" w:cs="Arial"/>
                <w:b/>
                <w:szCs w:val="18"/>
              </w:rPr>
            </w:pPr>
            <w:r>
              <w:rPr>
                <w:rFonts w:asciiTheme="minorHAnsi" w:hAnsiTheme="minorHAnsi" w:cs="Arial"/>
                <w:b/>
                <w:szCs w:val="18"/>
              </w:rPr>
              <w:t>11</w:t>
            </w:r>
          </w:p>
        </w:tc>
        <w:tc>
          <w:tcPr>
            <w:tcW w:w="1216" w:type="pct"/>
            <w:shd w:val="clear" w:color="auto" w:fill="D9D9D9"/>
            <w:vAlign w:val="center"/>
          </w:tcPr>
          <w:p w14:paraId="0E68CF09" w14:textId="583719FA" w:rsidR="0094646C" w:rsidRPr="009A33E7" w:rsidRDefault="0094646C" w:rsidP="0094646C">
            <w:pPr>
              <w:jc w:val="center"/>
              <w:rPr>
                <w:rFonts w:asciiTheme="minorHAnsi" w:hAnsiTheme="minorHAnsi" w:cs="Arial"/>
                <w:b/>
                <w:szCs w:val="18"/>
              </w:rPr>
            </w:pPr>
            <w:r w:rsidRPr="009A33E7">
              <w:rPr>
                <w:rFonts w:asciiTheme="minorHAnsi" w:hAnsiTheme="minorHAnsi" w:cs="Arial"/>
                <w:b/>
                <w:szCs w:val="18"/>
              </w:rPr>
              <w:t>2</w:t>
            </w:r>
            <w:r w:rsidR="00A536B3">
              <w:rPr>
                <w:rFonts w:asciiTheme="minorHAnsi" w:hAnsiTheme="minorHAnsi" w:cs="Arial"/>
                <w:b/>
                <w:szCs w:val="18"/>
              </w:rPr>
              <w:t>5</w:t>
            </w:r>
            <w:r w:rsidRPr="009A33E7">
              <w:rPr>
                <w:rFonts w:asciiTheme="minorHAnsi" w:hAnsiTheme="minorHAnsi" w:cs="Arial"/>
                <w:b/>
                <w:szCs w:val="18"/>
              </w:rPr>
              <w:t>0,</w:t>
            </w:r>
            <w:r w:rsidR="00A536B3">
              <w:rPr>
                <w:rFonts w:asciiTheme="minorHAnsi" w:hAnsiTheme="minorHAnsi" w:cs="Arial"/>
                <w:b/>
                <w:szCs w:val="18"/>
              </w:rPr>
              <w:t>278</w:t>
            </w:r>
          </w:p>
        </w:tc>
      </w:tr>
    </w:tbl>
    <w:p w14:paraId="4EDD7AA2" w14:textId="77777777" w:rsidR="00D3119C" w:rsidRDefault="00D3119C">
      <w:pPr>
        <w:spacing w:after="200" w:line="276" w:lineRule="auto"/>
        <w:rPr>
          <w:rFonts w:eastAsiaTheme="majorEastAsia" w:cstheme="majorBidi"/>
          <w:b/>
          <w:bCs/>
        </w:rPr>
      </w:pPr>
    </w:p>
    <w:p w14:paraId="77C4943B" w14:textId="50E95387" w:rsidR="0094646C" w:rsidRDefault="0094646C">
      <w:pPr>
        <w:spacing w:after="200" w:line="276" w:lineRule="auto"/>
        <w:rPr>
          <w:rFonts w:eastAsiaTheme="majorEastAsia" w:cstheme="majorBidi"/>
          <w:b/>
          <w:bCs/>
        </w:rPr>
      </w:pPr>
      <w:r>
        <w:rPr>
          <w:rFonts w:eastAsiaTheme="majorEastAsia" w:cstheme="majorBidi"/>
          <w:b/>
          <w:bCs/>
        </w:rPr>
        <w:br w:type="page"/>
      </w:r>
    </w:p>
    <w:p w14:paraId="22364241" w14:textId="577C358D" w:rsidR="00D3119C" w:rsidRDefault="005C044E">
      <w:pPr>
        <w:spacing w:after="200" w:line="276" w:lineRule="auto"/>
        <w:rPr>
          <w:rFonts w:eastAsiaTheme="majorEastAsia" w:cstheme="majorBidi"/>
          <w:b/>
          <w:bCs/>
        </w:rPr>
      </w:pPr>
      <w:bookmarkStart w:id="57" w:name="_Hlk165496384"/>
      <w:r>
        <w:rPr>
          <w:rFonts w:eastAsiaTheme="majorEastAsia" w:cstheme="majorBidi"/>
          <w:b/>
          <w:bCs/>
        </w:rPr>
        <w:lastRenderedPageBreak/>
        <w:t xml:space="preserve">PROPERTY </w:t>
      </w:r>
      <w:r w:rsidR="0052458A">
        <w:rPr>
          <w:rFonts w:eastAsiaTheme="majorEastAsia" w:cstheme="majorBidi"/>
          <w:b/>
          <w:bCs/>
        </w:rPr>
        <w:t xml:space="preserve">ASSET SUMMARY (Table 2) </w:t>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52458A">
        <w:rPr>
          <w:rFonts w:eastAsiaTheme="majorEastAsia" w:cstheme="majorBidi"/>
          <w:b/>
          <w:bCs/>
        </w:rPr>
        <w:tab/>
      </w:r>
      <w:r w:rsidR="0094646C">
        <w:rPr>
          <w:rFonts w:eastAsiaTheme="majorEastAsia" w:cstheme="majorBidi"/>
          <w:b/>
          <w:bCs/>
        </w:rPr>
        <w:t>Appendix 1</w:t>
      </w:r>
      <w:r>
        <w:rPr>
          <w:rFonts w:eastAsiaTheme="majorEastAsia" w:cstheme="majorBidi"/>
          <w:b/>
          <w:bCs/>
        </w:rPr>
        <w:t>.</w:t>
      </w:r>
      <w:r w:rsidR="008830C1">
        <w:rPr>
          <w:rFonts w:eastAsiaTheme="majorEastAsia" w:cstheme="majorBidi"/>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1" w:type="dxa"/>
          <w:right w:w="181" w:type="dxa"/>
        </w:tblCellMar>
        <w:tblLook w:val="04A0" w:firstRow="1" w:lastRow="0" w:firstColumn="1" w:lastColumn="0" w:noHBand="0" w:noVBand="1"/>
      </w:tblPr>
      <w:tblGrid>
        <w:gridCol w:w="2244"/>
        <w:gridCol w:w="1675"/>
        <w:gridCol w:w="5811"/>
      </w:tblGrid>
      <w:tr w:rsidR="00D3119C" w:rsidRPr="002D7C7B" w14:paraId="3C2BB3D2" w14:textId="77777777" w:rsidTr="005B606B">
        <w:tc>
          <w:tcPr>
            <w:tcW w:w="2244" w:type="dxa"/>
            <w:shd w:val="clear" w:color="auto" w:fill="E1E1FF"/>
          </w:tcPr>
          <w:bookmarkEnd w:id="57"/>
          <w:p w14:paraId="34FA7255" w14:textId="77777777" w:rsidR="00D3119C" w:rsidRPr="009A33E7" w:rsidRDefault="00D3119C" w:rsidP="00BC6367">
            <w:pPr>
              <w:rPr>
                <w:rFonts w:asciiTheme="minorHAnsi" w:hAnsiTheme="minorHAnsi" w:cs="Arial"/>
                <w:b/>
                <w:szCs w:val="18"/>
              </w:rPr>
            </w:pPr>
            <w:r w:rsidRPr="009A33E7">
              <w:rPr>
                <w:rFonts w:asciiTheme="minorHAnsi" w:hAnsiTheme="minorHAnsi" w:cs="Arial"/>
                <w:b/>
                <w:szCs w:val="18"/>
              </w:rPr>
              <w:t>Interest</w:t>
            </w:r>
          </w:p>
          <w:p w14:paraId="0700F69B" w14:textId="77777777" w:rsidR="00D3119C" w:rsidRPr="009A33E7" w:rsidRDefault="00D3119C" w:rsidP="00BC6367">
            <w:pPr>
              <w:rPr>
                <w:rFonts w:asciiTheme="minorHAnsi" w:hAnsiTheme="minorHAnsi" w:cs="Arial"/>
                <w:b/>
                <w:szCs w:val="18"/>
              </w:rPr>
            </w:pPr>
          </w:p>
        </w:tc>
        <w:tc>
          <w:tcPr>
            <w:tcW w:w="1675" w:type="dxa"/>
            <w:shd w:val="clear" w:color="auto" w:fill="E1E1FF"/>
          </w:tcPr>
          <w:p w14:paraId="4B0155F9" w14:textId="77777777" w:rsidR="00D3119C" w:rsidRPr="009A33E7" w:rsidRDefault="00D3119C" w:rsidP="00BC6367">
            <w:pPr>
              <w:jc w:val="center"/>
              <w:rPr>
                <w:rFonts w:asciiTheme="minorHAnsi" w:hAnsiTheme="minorHAnsi" w:cs="Arial"/>
                <w:b/>
                <w:szCs w:val="18"/>
              </w:rPr>
            </w:pPr>
            <w:r w:rsidRPr="009A33E7">
              <w:rPr>
                <w:rFonts w:asciiTheme="minorHAnsi" w:hAnsiTheme="minorHAnsi" w:cs="Arial"/>
                <w:b/>
                <w:szCs w:val="18"/>
              </w:rPr>
              <w:t>Number</w:t>
            </w:r>
          </w:p>
        </w:tc>
        <w:tc>
          <w:tcPr>
            <w:tcW w:w="5811" w:type="dxa"/>
            <w:shd w:val="clear" w:color="auto" w:fill="E1E1FF"/>
          </w:tcPr>
          <w:p w14:paraId="0D4C1E1B" w14:textId="77777777" w:rsidR="00D3119C" w:rsidRPr="009A33E7" w:rsidRDefault="00D3119C" w:rsidP="00BC6367">
            <w:pPr>
              <w:rPr>
                <w:rFonts w:asciiTheme="minorHAnsi" w:hAnsiTheme="minorHAnsi" w:cs="Arial"/>
                <w:b/>
                <w:szCs w:val="18"/>
              </w:rPr>
            </w:pPr>
            <w:r w:rsidRPr="009A33E7">
              <w:rPr>
                <w:rFonts w:asciiTheme="minorHAnsi" w:hAnsiTheme="minorHAnsi" w:cs="Arial"/>
                <w:b/>
                <w:szCs w:val="18"/>
              </w:rPr>
              <w:t>Comments</w:t>
            </w:r>
          </w:p>
        </w:tc>
      </w:tr>
      <w:tr w:rsidR="00D3119C" w:rsidRPr="002D7C7B" w14:paraId="7AFCB3BF" w14:textId="77777777" w:rsidTr="005B606B">
        <w:tc>
          <w:tcPr>
            <w:tcW w:w="2244" w:type="dxa"/>
            <w:shd w:val="clear" w:color="auto" w:fill="auto"/>
          </w:tcPr>
          <w:p w14:paraId="739E5A19" w14:textId="1FD4D824" w:rsidR="00D3119C" w:rsidRPr="009A33E7" w:rsidRDefault="00D3119C" w:rsidP="00BC6367">
            <w:pPr>
              <w:rPr>
                <w:rFonts w:asciiTheme="minorHAnsi" w:hAnsiTheme="minorHAnsi" w:cs="Arial"/>
                <w:szCs w:val="18"/>
              </w:rPr>
            </w:pPr>
            <w:r w:rsidRPr="009A33E7">
              <w:rPr>
                <w:rFonts w:asciiTheme="minorHAnsi" w:hAnsiTheme="minorHAnsi" w:cs="Arial"/>
                <w:szCs w:val="18"/>
              </w:rPr>
              <w:t xml:space="preserve">Farms </w:t>
            </w:r>
          </w:p>
        </w:tc>
        <w:tc>
          <w:tcPr>
            <w:tcW w:w="1675" w:type="dxa"/>
            <w:shd w:val="clear" w:color="auto" w:fill="auto"/>
          </w:tcPr>
          <w:p w14:paraId="1CF376FB" w14:textId="5FD60966" w:rsidR="00D3119C" w:rsidRPr="009A33E7" w:rsidRDefault="00D3119C" w:rsidP="00BC6367">
            <w:pPr>
              <w:jc w:val="center"/>
              <w:rPr>
                <w:rFonts w:asciiTheme="minorHAnsi" w:hAnsiTheme="minorHAnsi" w:cs="Arial"/>
                <w:szCs w:val="18"/>
              </w:rPr>
            </w:pPr>
            <w:r w:rsidRPr="009A33E7">
              <w:rPr>
                <w:rFonts w:asciiTheme="minorHAnsi" w:hAnsiTheme="minorHAnsi" w:cs="Arial"/>
                <w:szCs w:val="18"/>
              </w:rPr>
              <w:t>3</w:t>
            </w:r>
          </w:p>
        </w:tc>
        <w:tc>
          <w:tcPr>
            <w:tcW w:w="5811" w:type="dxa"/>
            <w:shd w:val="clear" w:color="auto" w:fill="auto"/>
          </w:tcPr>
          <w:p w14:paraId="43284570" w14:textId="6D96B4DF" w:rsidR="00D3119C" w:rsidRPr="009A33E7" w:rsidRDefault="00D3119C" w:rsidP="00BC6367">
            <w:pPr>
              <w:rPr>
                <w:rFonts w:asciiTheme="minorHAnsi" w:hAnsiTheme="minorHAnsi" w:cs="Arial"/>
                <w:szCs w:val="18"/>
              </w:rPr>
            </w:pPr>
            <w:r w:rsidRPr="009A33E7">
              <w:rPr>
                <w:rFonts w:asciiTheme="minorHAnsi" w:hAnsiTheme="minorHAnsi" w:cs="Arial"/>
                <w:szCs w:val="18"/>
              </w:rPr>
              <w:t>Leased Out (2 farms merged under one tenancy) plus grazing lets &amp; shootings</w:t>
            </w:r>
          </w:p>
        </w:tc>
      </w:tr>
      <w:tr w:rsidR="00D3119C" w:rsidRPr="002D7C7B" w14:paraId="136720EA" w14:textId="77777777" w:rsidTr="005B606B">
        <w:tc>
          <w:tcPr>
            <w:tcW w:w="2244" w:type="dxa"/>
            <w:shd w:val="clear" w:color="auto" w:fill="auto"/>
          </w:tcPr>
          <w:p w14:paraId="4B88B354" w14:textId="5A73543B" w:rsidR="00D3119C" w:rsidRPr="009A33E7" w:rsidRDefault="00D3119C" w:rsidP="00BC6367">
            <w:pPr>
              <w:rPr>
                <w:rFonts w:asciiTheme="minorHAnsi" w:hAnsiTheme="minorHAnsi" w:cs="Arial"/>
                <w:szCs w:val="18"/>
              </w:rPr>
            </w:pPr>
            <w:r w:rsidRPr="009A33E7">
              <w:rPr>
                <w:rFonts w:asciiTheme="minorHAnsi" w:hAnsiTheme="minorHAnsi" w:cs="Arial"/>
                <w:szCs w:val="18"/>
              </w:rPr>
              <w:t>Council Dwellings (former school &amp; park keepers houses)</w:t>
            </w:r>
          </w:p>
        </w:tc>
        <w:tc>
          <w:tcPr>
            <w:tcW w:w="1675" w:type="dxa"/>
            <w:shd w:val="clear" w:color="auto" w:fill="auto"/>
          </w:tcPr>
          <w:p w14:paraId="56546A9E" w14:textId="1C4C80EE" w:rsidR="00D3119C" w:rsidRPr="009A33E7" w:rsidRDefault="005B606B" w:rsidP="00BC6367">
            <w:pPr>
              <w:jc w:val="center"/>
              <w:rPr>
                <w:rFonts w:asciiTheme="minorHAnsi" w:hAnsiTheme="minorHAnsi" w:cs="Arial"/>
                <w:szCs w:val="18"/>
              </w:rPr>
            </w:pPr>
            <w:r>
              <w:rPr>
                <w:rFonts w:asciiTheme="minorHAnsi" w:hAnsiTheme="minorHAnsi" w:cs="Arial"/>
                <w:szCs w:val="18"/>
              </w:rPr>
              <w:t>8</w:t>
            </w:r>
          </w:p>
        </w:tc>
        <w:tc>
          <w:tcPr>
            <w:tcW w:w="5811" w:type="dxa"/>
            <w:shd w:val="clear" w:color="auto" w:fill="auto"/>
          </w:tcPr>
          <w:p w14:paraId="7F8B05B6" w14:textId="51BAF5DD" w:rsidR="00D3119C" w:rsidRPr="009A33E7" w:rsidRDefault="005B606B" w:rsidP="00BC6367">
            <w:pPr>
              <w:rPr>
                <w:rFonts w:asciiTheme="minorHAnsi" w:hAnsiTheme="minorHAnsi" w:cs="Arial"/>
                <w:szCs w:val="18"/>
              </w:rPr>
            </w:pPr>
            <w:r>
              <w:rPr>
                <w:rFonts w:asciiTheme="minorHAnsi" w:hAnsiTheme="minorHAnsi" w:cs="Arial"/>
                <w:szCs w:val="18"/>
              </w:rPr>
              <w:t>L</w:t>
            </w:r>
            <w:r w:rsidR="00D3119C" w:rsidRPr="009A33E7">
              <w:rPr>
                <w:rFonts w:asciiTheme="minorHAnsi" w:hAnsiTheme="minorHAnsi" w:cs="Arial"/>
                <w:szCs w:val="18"/>
              </w:rPr>
              <w:t>eased out</w:t>
            </w:r>
            <w:r>
              <w:rPr>
                <w:rFonts w:asciiTheme="minorHAnsi" w:hAnsiTheme="minorHAnsi" w:cs="Arial"/>
                <w:szCs w:val="18"/>
              </w:rPr>
              <w:t xml:space="preserve"> (6 under SST agreements)</w:t>
            </w:r>
          </w:p>
        </w:tc>
      </w:tr>
      <w:tr w:rsidR="00D3119C" w:rsidRPr="002D7C7B" w14:paraId="315EB7DB" w14:textId="77777777" w:rsidTr="005B606B">
        <w:tc>
          <w:tcPr>
            <w:tcW w:w="2244" w:type="dxa"/>
            <w:shd w:val="clear" w:color="auto" w:fill="auto"/>
          </w:tcPr>
          <w:p w14:paraId="4AF7E318"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Land Holdings</w:t>
            </w:r>
          </w:p>
        </w:tc>
        <w:tc>
          <w:tcPr>
            <w:tcW w:w="1675" w:type="dxa"/>
            <w:shd w:val="clear" w:color="auto" w:fill="auto"/>
          </w:tcPr>
          <w:p w14:paraId="22CFE657" w14:textId="41836D09" w:rsidR="00D3119C" w:rsidRPr="009A33E7" w:rsidRDefault="008A5145" w:rsidP="00BC6367">
            <w:pPr>
              <w:jc w:val="center"/>
              <w:rPr>
                <w:rFonts w:asciiTheme="minorHAnsi" w:hAnsiTheme="minorHAnsi" w:cs="Arial"/>
                <w:szCs w:val="18"/>
              </w:rPr>
            </w:pPr>
            <w:r>
              <w:rPr>
                <w:rFonts w:asciiTheme="minorHAnsi" w:hAnsiTheme="minorHAnsi" w:cs="Arial"/>
                <w:szCs w:val="18"/>
              </w:rPr>
              <w:t>65</w:t>
            </w:r>
          </w:p>
        </w:tc>
        <w:tc>
          <w:tcPr>
            <w:tcW w:w="5811" w:type="dxa"/>
            <w:shd w:val="clear" w:color="auto" w:fill="auto"/>
          </w:tcPr>
          <w:p w14:paraId="1CC44A2F"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Held for various reasons</w:t>
            </w:r>
          </w:p>
        </w:tc>
      </w:tr>
      <w:tr w:rsidR="00D3119C" w:rsidRPr="002D7C7B" w14:paraId="1EB3C0A5" w14:textId="77777777" w:rsidTr="005B606B">
        <w:tc>
          <w:tcPr>
            <w:tcW w:w="2244" w:type="dxa"/>
            <w:shd w:val="clear" w:color="auto" w:fill="auto"/>
          </w:tcPr>
          <w:p w14:paraId="19C00AAD"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Commercial Property</w:t>
            </w:r>
          </w:p>
        </w:tc>
        <w:tc>
          <w:tcPr>
            <w:tcW w:w="1675" w:type="dxa"/>
            <w:shd w:val="clear" w:color="auto" w:fill="auto"/>
          </w:tcPr>
          <w:p w14:paraId="77665893" w14:textId="3BD6170D" w:rsidR="00D3119C" w:rsidRPr="009A33E7" w:rsidRDefault="00D3119C" w:rsidP="00BC6367">
            <w:pPr>
              <w:jc w:val="center"/>
              <w:rPr>
                <w:rFonts w:asciiTheme="minorHAnsi" w:hAnsiTheme="minorHAnsi" w:cs="Arial"/>
                <w:szCs w:val="18"/>
              </w:rPr>
            </w:pPr>
            <w:r w:rsidRPr="009A33E7">
              <w:rPr>
                <w:rFonts w:asciiTheme="minorHAnsi" w:hAnsiTheme="minorHAnsi" w:cs="Arial"/>
                <w:szCs w:val="18"/>
              </w:rPr>
              <w:t>1</w:t>
            </w:r>
            <w:r w:rsidR="008A5145">
              <w:rPr>
                <w:rFonts w:asciiTheme="minorHAnsi" w:hAnsiTheme="minorHAnsi" w:cs="Arial"/>
                <w:szCs w:val="18"/>
              </w:rPr>
              <w:t>21</w:t>
            </w:r>
          </w:p>
        </w:tc>
        <w:tc>
          <w:tcPr>
            <w:tcW w:w="5811" w:type="dxa"/>
            <w:shd w:val="clear" w:color="auto" w:fill="auto"/>
          </w:tcPr>
          <w:p w14:paraId="2C60F56A" w14:textId="557CBD1A" w:rsidR="00D3119C" w:rsidRPr="009A33E7" w:rsidRDefault="008A5145" w:rsidP="00BC6367">
            <w:pPr>
              <w:rPr>
                <w:rFonts w:asciiTheme="minorHAnsi" w:hAnsiTheme="minorHAnsi" w:cs="Arial"/>
                <w:szCs w:val="18"/>
              </w:rPr>
            </w:pPr>
            <w:r>
              <w:rPr>
                <w:rFonts w:asciiTheme="minorHAnsi" w:hAnsiTheme="minorHAnsi" w:cs="Arial"/>
                <w:szCs w:val="18"/>
              </w:rPr>
              <w:t>10</w:t>
            </w:r>
            <w:r w:rsidR="00D3119C" w:rsidRPr="009A33E7">
              <w:rPr>
                <w:rFonts w:asciiTheme="minorHAnsi" w:hAnsiTheme="minorHAnsi" w:cs="Arial"/>
                <w:szCs w:val="18"/>
              </w:rPr>
              <w:t xml:space="preserve"> </w:t>
            </w:r>
            <w:r>
              <w:rPr>
                <w:rFonts w:asciiTheme="minorHAnsi" w:hAnsiTheme="minorHAnsi" w:cs="Arial"/>
                <w:szCs w:val="18"/>
              </w:rPr>
              <w:t xml:space="preserve">vacant and </w:t>
            </w:r>
            <w:r w:rsidR="00D3119C" w:rsidRPr="009A33E7">
              <w:rPr>
                <w:rFonts w:asciiTheme="minorHAnsi" w:hAnsiTheme="minorHAnsi" w:cs="Arial"/>
                <w:szCs w:val="18"/>
              </w:rPr>
              <w:t xml:space="preserve">being marketed, </w:t>
            </w:r>
            <w:r>
              <w:rPr>
                <w:rFonts w:asciiTheme="minorHAnsi" w:hAnsiTheme="minorHAnsi" w:cs="Arial"/>
                <w:szCs w:val="18"/>
              </w:rPr>
              <w:t>5</w:t>
            </w:r>
            <w:r w:rsidR="00D3119C" w:rsidRPr="009A33E7">
              <w:rPr>
                <w:rFonts w:asciiTheme="minorHAnsi" w:hAnsiTheme="minorHAnsi" w:cs="Arial"/>
                <w:szCs w:val="18"/>
              </w:rPr>
              <w:t xml:space="preserve"> vacant requiring investment prior to marketing</w:t>
            </w:r>
            <w:r>
              <w:rPr>
                <w:rFonts w:asciiTheme="minorHAnsi" w:hAnsiTheme="minorHAnsi" w:cs="Arial"/>
                <w:szCs w:val="18"/>
              </w:rPr>
              <w:t>; 2 under offer</w:t>
            </w:r>
            <w:r w:rsidR="00D3119C" w:rsidRPr="009A33E7">
              <w:rPr>
                <w:rFonts w:asciiTheme="minorHAnsi" w:hAnsiTheme="minorHAnsi" w:cs="Arial"/>
                <w:szCs w:val="18"/>
              </w:rPr>
              <w:t xml:space="preserve"> (fig includes common good shops)</w:t>
            </w:r>
          </w:p>
        </w:tc>
      </w:tr>
      <w:tr w:rsidR="00D3119C" w:rsidRPr="002D7C7B" w14:paraId="55889777" w14:textId="77777777" w:rsidTr="005B606B">
        <w:tc>
          <w:tcPr>
            <w:tcW w:w="2244" w:type="dxa"/>
            <w:shd w:val="clear" w:color="auto" w:fill="auto"/>
          </w:tcPr>
          <w:p w14:paraId="70F24B50"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Car Parks</w:t>
            </w:r>
          </w:p>
        </w:tc>
        <w:tc>
          <w:tcPr>
            <w:tcW w:w="1675" w:type="dxa"/>
            <w:shd w:val="clear" w:color="auto" w:fill="auto"/>
          </w:tcPr>
          <w:p w14:paraId="1A401FF2" w14:textId="200F2189" w:rsidR="00D3119C" w:rsidRPr="009A33E7" w:rsidRDefault="00D3119C" w:rsidP="00BC6367">
            <w:pPr>
              <w:jc w:val="center"/>
              <w:rPr>
                <w:rFonts w:asciiTheme="minorHAnsi" w:hAnsiTheme="minorHAnsi" w:cs="Arial"/>
                <w:szCs w:val="18"/>
              </w:rPr>
            </w:pPr>
            <w:r w:rsidRPr="009A33E7">
              <w:rPr>
                <w:rFonts w:asciiTheme="minorHAnsi" w:hAnsiTheme="minorHAnsi" w:cs="Arial"/>
                <w:szCs w:val="18"/>
              </w:rPr>
              <w:t>3</w:t>
            </w:r>
            <w:r w:rsidR="008A5145">
              <w:rPr>
                <w:rFonts w:asciiTheme="minorHAnsi" w:hAnsiTheme="minorHAnsi" w:cs="Arial"/>
                <w:szCs w:val="18"/>
              </w:rPr>
              <w:t>4</w:t>
            </w:r>
          </w:p>
        </w:tc>
        <w:tc>
          <w:tcPr>
            <w:tcW w:w="5811" w:type="dxa"/>
            <w:shd w:val="clear" w:color="auto" w:fill="auto"/>
          </w:tcPr>
          <w:p w14:paraId="29163F56"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Maintained by Council</w:t>
            </w:r>
          </w:p>
        </w:tc>
      </w:tr>
      <w:tr w:rsidR="00D3119C" w:rsidRPr="002D7C7B" w14:paraId="3FADDE96" w14:textId="77777777" w:rsidTr="005B606B">
        <w:tc>
          <w:tcPr>
            <w:tcW w:w="2244" w:type="dxa"/>
            <w:shd w:val="clear" w:color="auto" w:fill="auto"/>
          </w:tcPr>
          <w:p w14:paraId="5C4A59FC"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Surplus Assets</w:t>
            </w:r>
          </w:p>
        </w:tc>
        <w:tc>
          <w:tcPr>
            <w:tcW w:w="1675" w:type="dxa"/>
            <w:shd w:val="clear" w:color="auto" w:fill="auto"/>
          </w:tcPr>
          <w:p w14:paraId="2B6B0904" w14:textId="71C60433" w:rsidR="00D3119C" w:rsidRPr="009A33E7" w:rsidRDefault="00D3119C" w:rsidP="00BC6367">
            <w:pPr>
              <w:jc w:val="center"/>
              <w:rPr>
                <w:rFonts w:asciiTheme="minorHAnsi" w:hAnsiTheme="minorHAnsi" w:cs="Arial"/>
                <w:szCs w:val="18"/>
              </w:rPr>
            </w:pPr>
            <w:r w:rsidRPr="009A33E7">
              <w:rPr>
                <w:rFonts w:asciiTheme="minorHAnsi" w:hAnsiTheme="minorHAnsi" w:cs="Arial"/>
                <w:szCs w:val="18"/>
              </w:rPr>
              <w:t>1</w:t>
            </w:r>
            <w:r w:rsidR="008A5145">
              <w:rPr>
                <w:rFonts w:asciiTheme="minorHAnsi" w:hAnsiTheme="minorHAnsi" w:cs="Arial"/>
                <w:szCs w:val="18"/>
              </w:rPr>
              <w:t>4</w:t>
            </w:r>
          </w:p>
        </w:tc>
        <w:tc>
          <w:tcPr>
            <w:tcW w:w="5811" w:type="dxa"/>
            <w:shd w:val="clear" w:color="auto" w:fill="auto"/>
          </w:tcPr>
          <w:p w14:paraId="4445AA95" w14:textId="77777777" w:rsidR="00D3119C" w:rsidRPr="009A33E7" w:rsidRDefault="00D3119C" w:rsidP="00BC6367">
            <w:pPr>
              <w:rPr>
                <w:rFonts w:asciiTheme="minorHAnsi" w:hAnsiTheme="minorHAnsi" w:cs="Arial"/>
                <w:szCs w:val="18"/>
              </w:rPr>
            </w:pPr>
            <w:r w:rsidRPr="009A33E7">
              <w:rPr>
                <w:rFonts w:asciiTheme="minorHAnsi" w:hAnsiTheme="minorHAnsi" w:cs="Arial"/>
                <w:szCs w:val="18"/>
              </w:rPr>
              <w:t>6 currently being marketed</w:t>
            </w:r>
          </w:p>
        </w:tc>
      </w:tr>
    </w:tbl>
    <w:p w14:paraId="6C3E8FF0" w14:textId="77777777" w:rsidR="00D3119C" w:rsidRDefault="00D3119C">
      <w:pPr>
        <w:spacing w:after="200" w:line="276" w:lineRule="auto"/>
        <w:rPr>
          <w:rFonts w:eastAsiaTheme="majorEastAsia" w:cstheme="majorBidi"/>
          <w:b/>
          <w:bCs/>
        </w:rPr>
      </w:pPr>
    </w:p>
    <w:p w14:paraId="670F1FAE" w14:textId="182DA11D" w:rsidR="008830C1" w:rsidRDefault="005B606B" w:rsidP="008830C1">
      <w:pPr>
        <w:spacing w:after="200" w:line="276" w:lineRule="auto"/>
        <w:rPr>
          <w:rFonts w:eastAsiaTheme="majorEastAsia" w:cstheme="majorBidi"/>
          <w:b/>
          <w:bCs/>
        </w:rPr>
      </w:pPr>
      <w:r>
        <w:rPr>
          <w:rFonts w:eastAsiaTheme="majorEastAsia" w:cstheme="majorBidi"/>
          <w:b/>
          <w:bCs/>
        </w:rPr>
        <w:t>OPEN SPACE</w:t>
      </w:r>
      <w:r w:rsidR="008830C1">
        <w:rPr>
          <w:rFonts w:eastAsiaTheme="majorEastAsia" w:cstheme="majorBidi"/>
          <w:b/>
          <w:bCs/>
        </w:rPr>
        <w:t xml:space="preserve"> ASSET SUMMARY</w:t>
      </w:r>
      <w:r w:rsidR="008830C1">
        <w:rPr>
          <w:rFonts w:eastAsiaTheme="majorEastAsia" w:cstheme="majorBidi"/>
          <w:b/>
          <w:bCs/>
        </w:rPr>
        <w:tab/>
      </w:r>
      <w:r w:rsidR="008830C1">
        <w:rPr>
          <w:rFonts w:eastAsiaTheme="majorEastAsia" w:cstheme="majorBidi"/>
          <w:b/>
          <w:bCs/>
        </w:rPr>
        <w:tab/>
      </w:r>
      <w:r w:rsidR="008830C1">
        <w:rPr>
          <w:rFonts w:eastAsiaTheme="majorEastAsia" w:cstheme="majorBidi"/>
          <w:b/>
          <w:bCs/>
        </w:rPr>
        <w:tab/>
      </w:r>
      <w:r w:rsidR="008830C1">
        <w:rPr>
          <w:rFonts w:eastAsiaTheme="majorEastAsia" w:cstheme="majorBidi"/>
          <w:b/>
          <w:bCs/>
        </w:rPr>
        <w:tab/>
      </w:r>
      <w:r w:rsidR="008830C1">
        <w:rPr>
          <w:rFonts w:eastAsiaTheme="majorEastAsia" w:cstheme="majorBidi"/>
          <w:b/>
          <w:bCs/>
        </w:rPr>
        <w:tab/>
      </w:r>
      <w:r w:rsidR="008830C1">
        <w:rPr>
          <w:rFonts w:eastAsiaTheme="majorEastAsia" w:cstheme="majorBidi"/>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1" w:type="dxa"/>
          <w:right w:w="181" w:type="dxa"/>
        </w:tblCellMar>
        <w:tblLook w:val="04A0" w:firstRow="1" w:lastRow="0" w:firstColumn="1" w:lastColumn="0" w:noHBand="0" w:noVBand="1"/>
      </w:tblPr>
      <w:tblGrid>
        <w:gridCol w:w="2244"/>
        <w:gridCol w:w="1675"/>
        <w:gridCol w:w="5811"/>
      </w:tblGrid>
      <w:tr w:rsidR="008830C1" w:rsidRPr="002D7C7B" w14:paraId="2ABEFEFB" w14:textId="77777777" w:rsidTr="005B606B">
        <w:tc>
          <w:tcPr>
            <w:tcW w:w="2244" w:type="dxa"/>
            <w:shd w:val="clear" w:color="auto" w:fill="E1E1FF"/>
          </w:tcPr>
          <w:p w14:paraId="4A3F4960" w14:textId="77777777" w:rsidR="008830C1" w:rsidRPr="009A33E7" w:rsidRDefault="008830C1" w:rsidP="00561F0E">
            <w:pPr>
              <w:rPr>
                <w:rFonts w:asciiTheme="minorHAnsi" w:hAnsiTheme="minorHAnsi" w:cs="Arial"/>
                <w:b/>
                <w:szCs w:val="18"/>
              </w:rPr>
            </w:pPr>
            <w:r w:rsidRPr="009A33E7">
              <w:rPr>
                <w:rFonts w:asciiTheme="minorHAnsi" w:hAnsiTheme="minorHAnsi" w:cs="Arial"/>
                <w:b/>
                <w:szCs w:val="18"/>
              </w:rPr>
              <w:t>Interest</w:t>
            </w:r>
          </w:p>
          <w:p w14:paraId="78EEC8AE" w14:textId="77777777" w:rsidR="008830C1" w:rsidRPr="009A33E7" w:rsidRDefault="008830C1" w:rsidP="00561F0E">
            <w:pPr>
              <w:rPr>
                <w:rFonts w:asciiTheme="minorHAnsi" w:hAnsiTheme="minorHAnsi" w:cs="Arial"/>
                <w:b/>
                <w:szCs w:val="18"/>
              </w:rPr>
            </w:pPr>
          </w:p>
        </w:tc>
        <w:tc>
          <w:tcPr>
            <w:tcW w:w="1675" w:type="dxa"/>
            <w:shd w:val="clear" w:color="auto" w:fill="E1E1FF"/>
          </w:tcPr>
          <w:p w14:paraId="7B95AF1F" w14:textId="77777777" w:rsidR="008830C1" w:rsidRPr="009A33E7" w:rsidRDefault="008830C1" w:rsidP="00561F0E">
            <w:pPr>
              <w:jc w:val="center"/>
              <w:rPr>
                <w:rFonts w:asciiTheme="minorHAnsi" w:hAnsiTheme="minorHAnsi" w:cs="Arial"/>
                <w:b/>
                <w:szCs w:val="18"/>
              </w:rPr>
            </w:pPr>
            <w:r w:rsidRPr="009A33E7">
              <w:rPr>
                <w:rFonts w:asciiTheme="minorHAnsi" w:hAnsiTheme="minorHAnsi" w:cs="Arial"/>
                <w:b/>
                <w:szCs w:val="18"/>
              </w:rPr>
              <w:t>Number</w:t>
            </w:r>
          </w:p>
        </w:tc>
        <w:tc>
          <w:tcPr>
            <w:tcW w:w="5811" w:type="dxa"/>
            <w:shd w:val="clear" w:color="auto" w:fill="E1E1FF"/>
          </w:tcPr>
          <w:p w14:paraId="386C3877" w14:textId="77777777" w:rsidR="008830C1" w:rsidRPr="009A33E7" w:rsidRDefault="008830C1" w:rsidP="00561F0E">
            <w:pPr>
              <w:rPr>
                <w:rFonts w:asciiTheme="minorHAnsi" w:hAnsiTheme="minorHAnsi" w:cs="Arial"/>
                <w:b/>
                <w:szCs w:val="18"/>
              </w:rPr>
            </w:pPr>
            <w:r w:rsidRPr="009A33E7">
              <w:rPr>
                <w:rFonts w:asciiTheme="minorHAnsi" w:hAnsiTheme="minorHAnsi" w:cs="Arial"/>
                <w:b/>
                <w:szCs w:val="18"/>
              </w:rPr>
              <w:t>Comments</w:t>
            </w:r>
          </w:p>
        </w:tc>
      </w:tr>
      <w:tr w:rsidR="008830C1" w:rsidRPr="002D7C7B" w14:paraId="2B3349AB" w14:textId="77777777" w:rsidTr="005B606B">
        <w:tc>
          <w:tcPr>
            <w:tcW w:w="2244" w:type="dxa"/>
            <w:shd w:val="clear" w:color="auto" w:fill="auto"/>
          </w:tcPr>
          <w:p w14:paraId="4DC4C90E" w14:textId="77777777" w:rsidR="008830C1" w:rsidRPr="009A33E7" w:rsidRDefault="008830C1" w:rsidP="00561F0E">
            <w:pPr>
              <w:rPr>
                <w:rFonts w:asciiTheme="minorHAnsi" w:hAnsiTheme="minorHAnsi" w:cs="Arial"/>
                <w:szCs w:val="18"/>
              </w:rPr>
            </w:pPr>
            <w:r w:rsidRPr="009A33E7">
              <w:rPr>
                <w:rFonts w:asciiTheme="minorHAnsi" w:hAnsiTheme="minorHAnsi" w:cs="Arial"/>
                <w:szCs w:val="18"/>
              </w:rPr>
              <w:t>Open Space</w:t>
            </w:r>
          </w:p>
        </w:tc>
        <w:tc>
          <w:tcPr>
            <w:tcW w:w="1675" w:type="dxa"/>
            <w:shd w:val="clear" w:color="auto" w:fill="auto"/>
          </w:tcPr>
          <w:p w14:paraId="116207E3" w14:textId="124606A2" w:rsidR="008830C1" w:rsidRPr="009A33E7" w:rsidRDefault="008830C1" w:rsidP="00561F0E">
            <w:pPr>
              <w:jc w:val="center"/>
              <w:rPr>
                <w:rFonts w:asciiTheme="minorHAnsi" w:hAnsiTheme="minorHAnsi" w:cs="Arial"/>
                <w:szCs w:val="18"/>
              </w:rPr>
            </w:pPr>
            <w:r w:rsidRPr="009A33E7">
              <w:rPr>
                <w:rFonts w:asciiTheme="minorHAnsi" w:hAnsiTheme="minorHAnsi" w:cs="Arial"/>
                <w:szCs w:val="18"/>
              </w:rPr>
              <w:t>1,6</w:t>
            </w:r>
            <w:r w:rsidR="008A5145">
              <w:rPr>
                <w:rFonts w:asciiTheme="minorHAnsi" w:hAnsiTheme="minorHAnsi" w:cs="Arial"/>
                <w:szCs w:val="18"/>
              </w:rPr>
              <w:t>50</w:t>
            </w:r>
            <w:r w:rsidRPr="009A33E7">
              <w:rPr>
                <w:rFonts w:asciiTheme="minorHAnsi" w:hAnsiTheme="minorHAnsi" w:cs="Arial"/>
                <w:szCs w:val="18"/>
              </w:rPr>
              <w:t>,</w:t>
            </w:r>
            <w:r w:rsidR="008A5145">
              <w:rPr>
                <w:rFonts w:asciiTheme="minorHAnsi" w:hAnsiTheme="minorHAnsi" w:cs="Arial"/>
                <w:szCs w:val="18"/>
              </w:rPr>
              <w:t xml:space="preserve">534 </w:t>
            </w:r>
            <w:r w:rsidRPr="009A33E7">
              <w:rPr>
                <w:rFonts w:asciiTheme="minorHAnsi" w:hAnsiTheme="minorHAnsi" w:cs="Arial"/>
                <w:szCs w:val="18"/>
              </w:rPr>
              <w:t>sqm</w:t>
            </w:r>
          </w:p>
        </w:tc>
        <w:tc>
          <w:tcPr>
            <w:tcW w:w="5811" w:type="dxa"/>
            <w:shd w:val="clear" w:color="auto" w:fill="auto"/>
          </w:tcPr>
          <w:p w14:paraId="78D55538" w14:textId="77777777" w:rsidR="008830C1" w:rsidRPr="009A33E7" w:rsidRDefault="008830C1" w:rsidP="00561F0E">
            <w:pPr>
              <w:rPr>
                <w:rFonts w:asciiTheme="minorHAnsi" w:hAnsiTheme="minorHAnsi" w:cs="Arial"/>
                <w:szCs w:val="18"/>
              </w:rPr>
            </w:pPr>
            <w:r w:rsidRPr="009A33E7">
              <w:rPr>
                <w:rFonts w:asciiTheme="minorHAnsi" w:hAnsiTheme="minorHAnsi" w:cs="Arial"/>
                <w:szCs w:val="18"/>
              </w:rPr>
              <w:t>Maintained by Council</w:t>
            </w:r>
          </w:p>
        </w:tc>
      </w:tr>
      <w:tr w:rsidR="008830C1" w:rsidRPr="002D7C7B" w14:paraId="1D205168" w14:textId="77777777" w:rsidTr="005B606B">
        <w:tc>
          <w:tcPr>
            <w:tcW w:w="2244" w:type="dxa"/>
            <w:shd w:val="clear" w:color="auto" w:fill="auto"/>
          </w:tcPr>
          <w:p w14:paraId="66CDD414" w14:textId="77777777" w:rsidR="008830C1" w:rsidRPr="009A33E7" w:rsidRDefault="008830C1" w:rsidP="00561F0E">
            <w:pPr>
              <w:rPr>
                <w:rFonts w:asciiTheme="minorHAnsi" w:hAnsiTheme="minorHAnsi" w:cs="Arial"/>
                <w:szCs w:val="18"/>
              </w:rPr>
            </w:pPr>
            <w:r w:rsidRPr="009A33E7">
              <w:rPr>
                <w:rFonts w:asciiTheme="minorHAnsi" w:hAnsiTheme="minorHAnsi" w:cs="Arial"/>
                <w:szCs w:val="18"/>
              </w:rPr>
              <w:t>Play Areas &amp; MUGAs</w:t>
            </w:r>
          </w:p>
        </w:tc>
        <w:tc>
          <w:tcPr>
            <w:tcW w:w="1675" w:type="dxa"/>
            <w:shd w:val="clear" w:color="auto" w:fill="auto"/>
          </w:tcPr>
          <w:p w14:paraId="014DE1AE" w14:textId="1CFBF7D6" w:rsidR="008830C1" w:rsidRPr="009A33E7" w:rsidRDefault="008830C1" w:rsidP="00561F0E">
            <w:pPr>
              <w:jc w:val="center"/>
              <w:rPr>
                <w:rFonts w:asciiTheme="minorHAnsi" w:hAnsiTheme="minorHAnsi" w:cs="Arial"/>
                <w:szCs w:val="18"/>
              </w:rPr>
            </w:pPr>
            <w:r w:rsidRPr="009A33E7">
              <w:rPr>
                <w:rFonts w:asciiTheme="minorHAnsi" w:hAnsiTheme="minorHAnsi" w:cs="Arial"/>
                <w:szCs w:val="18"/>
              </w:rPr>
              <w:t>5</w:t>
            </w:r>
            <w:r w:rsidR="008A5145">
              <w:rPr>
                <w:rFonts w:asciiTheme="minorHAnsi" w:hAnsiTheme="minorHAnsi" w:cs="Arial"/>
                <w:szCs w:val="18"/>
              </w:rPr>
              <w:t>1</w:t>
            </w:r>
          </w:p>
        </w:tc>
        <w:tc>
          <w:tcPr>
            <w:tcW w:w="5811" w:type="dxa"/>
            <w:shd w:val="clear" w:color="auto" w:fill="auto"/>
          </w:tcPr>
          <w:p w14:paraId="23D77E98" w14:textId="77777777" w:rsidR="008830C1" w:rsidRPr="009A33E7" w:rsidRDefault="008830C1" w:rsidP="00561F0E">
            <w:pPr>
              <w:rPr>
                <w:rFonts w:asciiTheme="minorHAnsi" w:hAnsiTheme="minorHAnsi" w:cs="Arial"/>
                <w:szCs w:val="18"/>
              </w:rPr>
            </w:pPr>
            <w:r w:rsidRPr="009A33E7">
              <w:rPr>
                <w:rFonts w:asciiTheme="minorHAnsi" w:hAnsiTheme="minorHAnsi" w:cs="Arial"/>
                <w:szCs w:val="18"/>
              </w:rPr>
              <w:t>Maintained by Council</w:t>
            </w:r>
          </w:p>
        </w:tc>
      </w:tr>
    </w:tbl>
    <w:p w14:paraId="3880C8D4" w14:textId="77777777" w:rsidR="00146E96" w:rsidRDefault="00146E96">
      <w:pPr>
        <w:spacing w:after="200" w:line="276" w:lineRule="auto"/>
        <w:rPr>
          <w:rFonts w:eastAsiaTheme="majorEastAsia" w:cstheme="majorBidi"/>
          <w:b/>
          <w:bCs/>
        </w:rPr>
      </w:pPr>
    </w:p>
    <w:p w14:paraId="78B96122" w14:textId="18216884" w:rsidR="004241AE" w:rsidRDefault="00146E96" w:rsidP="004241AE">
      <w:pPr>
        <w:spacing w:after="200" w:line="276" w:lineRule="auto"/>
        <w:rPr>
          <w:rFonts w:eastAsiaTheme="majorEastAsia" w:cstheme="majorBidi"/>
          <w:b/>
          <w:bCs/>
        </w:rPr>
      </w:pPr>
      <w:r>
        <w:rPr>
          <w:rFonts w:eastAsiaTheme="majorEastAsia" w:cstheme="majorBidi"/>
          <w:b/>
          <w:bCs/>
        </w:rPr>
        <w:br w:type="page"/>
      </w:r>
      <w:r w:rsidR="004241AE">
        <w:rPr>
          <w:rFonts w:eastAsiaTheme="majorEastAsia" w:cstheme="majorBidi"/>
          <w:b/>
          <w:bCs/>
        </w:rPr>
        <w:lastRenderedPageBreak/>
        <w:t>ROADS ASSET SUMMARY</w:t>
      </w:r>
      <w:r w:rsidR="004241AE">
        <w:rPr>
          <w:rFonts w:eastAsiaTheme="majorEastAsia" w:cstheme="majorBidi"/>
          <w:b/>
          <w:bCs/>
        </w:rPr>
        <w:tab/>
      </w:r>
      <w:r w:rsidR="004241AE">
        <w:rPr>
          <w:rFonts w:eastAsiaTheme="majorEastAsia" w:cstheme="majorBidi"/>
          <w:b/>
          <w:bCs/>
        </w:rPr>
        <w:tab/>
        <w:t xml:space="preserve"> </w:t>
      </w:r>
      <w:r w:rsidR="004241AE">
        <w:rPr>
          <w:rFonts w:eastAsiaTheme="majorEastAsia" w:cstheme="majorBidi"/>
          <w:b/>
          <w:bCs/>
        </w:rPr>
        <w:tab/>
      </w:r>
      <w:r w:rsidR="004241AE">
        <w:rPr>
          <w:rFonts w:eastAsiaTheme="majorEastAsia" w:cstheme="majorBidi"/>
          <w:b/>
          <w:bCs/>
        </w:rPr>
        <w:tab/>
      </w:r>
      <w:r w:rsidR="004241AE">
        <w:rPr>
          <w:rFonts w:eastAsiaTheme="majorEastAsia" w:cstheme="majorBidi"/>
          <w:b/>
          <w:bCs/>
        </w:rPr>
        <w:tab/>
      </w:r>
      <w:r w:rsidR="004241AE">
        <w:rPr>
          <w:rFonts w:eastAsiaTheme="majorEastAsia" w:cstheme="majorBidi"/>
          <w:b/>
          <w:bCs/>
        </w:rPr>
        <w:tab/>
      </w:r>
      <w:r w:rsidR="004241AE">
        <w:rPr>
          <w:rFonts w:eastAsiaTheme="majorEastAsia" w:cstheme="majorBidi"/>
          <w:b/>
          <w:bCs/>
        </w:rPr>
        <w:tab/>
      </w:r>
      <w:r w:rsidR="004241AE">
        <w:rPr>
          <w:rFonts w:eastAsiaTheme="majorEastAsia" w:cstheme="majorBidi"/>
          <w:b/>
          <w:bCs/>
        </w:rPr>
        <w:tab/>
        <w:t>Appendix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1" w:type="dxa"/>
          <w:right w:w="181" w:type="dxa"/>
        </w:tblCellMar>
        <w:tblLook w:val="04A0" w:firstRow="1" w:lastRow="0" w:firstColumn="1" w:lastColumn="0" w:noHBand="0" w:noVBand="1"/>
      </w:tblPr>
      <w:tblGrid>
        <w:gridCol w:w="2244"/>
        <w:gridCol w:w="1675"/>
        <w:gridCol w:w="5811"/>
      </w:tblGrid>
      <w:tr w:rsidR="004241AE" w:rsidRPr="002D7C7B" w14:paraId="2D3C7AA5" w14:textId="77777777" w:rsidTr="00085F62">
        <w:tc>
          <w:tcPr>
            <w:tcW w:w="2244" w:type="dxa"/>
            <w:shd w:val="clear" w:color="auto" w:fill="E1E1FF"/>
          </w:tcPr>
          <w:p w14:paraId="499C64E4" w14:textId="21DEC746" w:rsidR="004241AE" w:rsidRPr="009A33E7" w:rsidRDefault="004241AE" w:rsidP="00085F62">
            <w:pPr>
              <w:rPr>
                <w:rFonts w:asciiTheme="minorHAnsi" w:hAnsiTheme="minorHAnsi" w:cs="Arial"/>
                <w:b/>
                <w:szCs w:val="18"/>
              </w:rPr>
            </w:pPr>
            <w:r>
              <w:rPr>
                <w:rFonts w:asciiTheme="minorHAnsi" w:hAnsiTheme="minorHAnsi" w:cs="Arial"/>
                <w:b/>
                <w:szCs w:val="18"/>
              </w:rPr>
              <w:t>Asset Type</w:t>
            </w:r>
          </w:p>
          <w:p w14:paraId="0FD74B42" w14:textId="77777777" w:rsidR="004241AE" w:rsidRPr="009A33E7" w:rsidRDefault="004241AE" w:rsidP="00085F62">
            <w:pPr>
              <w:rPr>
                <w:rFonts w:asciiTheme="minorHAnsi" w:hAnsiTheme="minorHAnsi" w:cs="Arial"/>
                <w:b/>
                <w:szCs w:val="18"/>
              </w:rPr>
            </w:pPr>
          </w:p>
        </w:tc>
        <w:tc>
          <w:tcPr>
            <w:tcW w:w="1675" w:type="dxa"/>
            <w:shd w:val="clear" w:color="auto" w:fill="E1E1FF"/>
          </w:tcPr>
          <w:p w14:paraId="516EE0F1" w14:textId="77777777" w:rsidR="004241AE" w:rsidRPr="009A33E7" w:rsidRDefault="004241AE" w:rsidP="00085F62">
            <w:pPr>
              <w:jc w:val="center"/>
              <w:rPr>
                <w:rFonts w:asciiTheme="minorHAnsi" w:hAnsiTheme="minorHAnsi" w:cs="Arial"/>
                <w:b/>
                <w:szCs w:val="18"/>
              </w:rPr>
            </w:pPr>
            <w:r w:rsidRPr="009A33E7">
              <w:rPr>
                <w:rFonts w:asciiTheme="minorHAnsi" w:hAnsiTheme="minorHAnsi" w:cs="Arial"/>
                <w:b/>
                <w:szCs w:val="18"/>
              </w:rPr>
              <w:t>Number</w:t>
            </w:r>
          </w:p>
        </w:tc>
        <w:tc>
          <w:tcPr>
            <w:tcW w:w="5811" w:type="dxa"/>
            <w:shd w:val="clear" w:color="auto" w:fill="E1E1FF"/>
          </w:tcPr>
          <w:p w14:paraId="25B85FB5" w14:textId="77777777" w:rsidR="004241AE" w:rsidRPr="009A33E7" w:rsidRDefault="004241AE" w:rsidP="00085F62">
            <w:pPr>
              <w:rPr>
                <w:rFonts w:asciiTheme="minorHAnsi" w:hAnsiTheme="minorHAnsi" w:cs="Arial"/>
                <w:b/>
                <w:szCs w:val="18"/>
              </w:rPr>
            </w:pPr>
            <w:r w:rsidRPr="009A33E7">
              <w:rPr>
                <w:rFonts w:asciiTheme="minorHAnsi" w:hAnsiTheme="minorHAnsi" w:cs="Arial"/>
                <w:b/>
                <w:szCs w:val="18"/>
              </w:rPr>
              <w:t>Comments</w:t>
            </w:r>
          </w:p>
        </w:tc>
      </w:tr>
      <w:tr w:rsidR="004241AE" w:rsidRPr="002D7C7B" w14:paraId="57814F32" w14:textId="77777777" w:rsidTr="00085F62">
        <w:tc>
          <w:tcPr>
            <w:tcW w:w="2244" w:type="dxa"/>
            <w:shd w:val="clear" w:color="auto" w:fill="auto"/>
          </w:tcPr>
          <w:p w14:paraId="0439E842" w14:textId="210F9085" w:rsidR="004241AE" w:rsidRPr="009A33E7" w:rsidRDefault="004241AE" w:rsidP="00085F62">
            <w:pPr>
              <w:rPr>
                <w:rFonts w:asciiTheme="minorHAnsi" w:hAnsiTheme="minorHAnsi" w:cs="Arial"/>
                <w:szCs w:val="18"/>
              </w:rPr>
            </w:pPr>
            <w:r>
              <w:rPr>
                <w:rFonts w:asciiTheme="minorHAnsi" w:hAnsiTheme="minorHAnsi" w:cs="Arial"/>
                <w:szCs w:val="18"/>
              </w:rPr>
              <w:t>Carriageways</w:t>
            </w:r>
          </w:p>
        </w:tc>
        <w:tc>
          <w:tcPr>
            <w:tcW w:w="1675" w:type="dxa"/>
            <w:shd w:val="clear" w:color="auto" w:fill="auto"/>
          </w:tcPr>
          <w:p w14:paraId="3C8FD710" w14:textId="3F0753F3" w:rsidR="004241AE" w:rsidRPr="009A33E7" w:rsidRDefault="004241AE" w:rsidP="00085F62">
            <w:pPr>
              <w:jc w:val="center"/>
              <w:rPr>
                <w:rFonts w:asciiTheme="minorHAnsi" w:hAnsiTheme="minorHAnsi" w:cs="Arial"/>
                <w:szCs w:val="18"/>
              </w:rPr>
            </w:pPr>
            <w:r w:rsidRPr="004241AE">
              <w:rPr>
                <w:rFonts w:asciiTheme="minorHAnsi" w:hAnsiTheme="minorHAnsi" w:cs="Arial"/>
                <w:szCs w:val="18"/>
              </w:rPr>
              <w:t>233.3 miles (375.4 km)</w:t>
            </w:r>
          </w:p>
        </w:tc>
        <w:tc>
          <w:tcPr>
            <w:tcW w:w="5811" w:type="dxa"/>
            <w:shd w:val="clear" w:color="auto" w:fill="auto"/>
          </w:tcPr>
          <w:p w14:paraId="753A454B" w14:textId="55DE7B15" w:rsidR="004241AE" w:rsidRPr="009A33E7" w:rsidRDefault="004241AE" w:rsidP="00085F62">
            <w:pPr>
              <w:rPr>
                <w:rFonts w:asciiTheme="minorHAnsi" w:hAnsiTheme="minorHAnsi" w:cs="Arial"/>
                <w:szCs w:val="18"/>
              </w:rPr>
            </w:pPr>
            <w:r>
              <w:rPr>
                <w:rFonts w:asciiTheme="minorHAnsi" w:hAnsiTheme="minorHAnsi" w:cs="Arial"/>
                <w:szCs w:val="18"/>
              </w:rPr>
              <w:t>R</w:t>
            </w:r>
            <w:r w:rsidRPr="004241AE">
              <w:rPr>
                <w:rFonts w:asciiTheme="minorHAnsi" w:hAnsiTheme="minorHAnsi" w:cs="Arial"/>
                <w:szCs w:val="18"/>
              </w:rPr>
              <w:t>oad</w:t>
            </w:r>
            <w:r>
              <w:rPr>
                <w:rFonts w:asciiTheme="minorHAnsi" w:hAnsiTheme="minorHAnsi" w:cs="Arial"/>
                <w:szCs w:val="18"/>
              </w:rPr>
              <w:t>s</w:t>
            </w:r>
            <w:r w:rsidRPr="004241AE">
              <w:rPr>
                <w:rFonts w:asciiTheme="minorHAnsi" w:hAnsiTheme="minorHAnsi" w:cs="Arial"/>
                <w:szCs w:val="18"/>
              </w:rPr>
              <w:t xml:space="preserve"> comprising of a mixture of busy classified roads, link roads and residential streets</w:t>
            </w:r>
          </w:p>
        </w:tc>
      </w:tr>
      <w:tr w:rsidR="004241AE" w:rsidRPr="002D7C7B" w14:paraId="2CEA597B" w14:textId="77777777" w:rsidTr="00085F62">
        <w:tc>
          <w:tcPr>
            <w:tcW w:w="2244" w:type="dxa"/>
            <w:shd w:val="clear" w:color="auto" w:fill="auto"/>
          </w:tcPr>
          <w:p w14:paraId="16C8223C" w14:textId="03BB1B57" w:rsidR="004241AE" w:rsidRPr="009A33E7" w:rsidRDefault="004241AE" w:rsidP="00085F62">
            <w:pPr>
              <w:rPr>
                <w:rFonts w:asciiTheme="minorHAnsi" w:hAnsiTheme="minorHAnsi" w:cs="Arial"/>
                <w:szCs w:val="18"/>
              </w:rPr>
            </w:pPr>
            <w:r>
              <w:rPr>
                <w:rFonts w:asciiTheme="minorHAnsi" w:hAnsiTheme="minorHAnsi" w:cs="Arial"/>
                <w:szCs w:val="18"/>
              </w:rPr>
              <w:t>Footways</w:t>
            </w:r>
          </w:p>
        </w:tc>
        <w:tc>
          <w:tcPr>
            <w:tcW w:w="1675" w:type="dxa"/>
            <w:shd w:val="clear" w:color="auto" w:fill="auto"/>
          </w:tcPr>
          <w:p w14:paraId="16D60EF2" w14:textId="459CA163" w:rsidR="004241AE" w:rsidRPr="009A33E7" w:rsidRDefault="004241AE" w:rsidP="00085F62">
            <w:pPr>
              <w:jc w:val="center"/>
              <w:rPr>
                <w:rFonts w:asciiTheme="minorHAnsi" w:hAnsiTheme="minorHAnsi" w:cs="Arial"/>
                <w:szCs w:val="18"/>
              </w:rPr>
            </w:pPr>
            <w:r w:rsidRPr="004241AE">
              <w:rPr>
                <w:rFonts w:asciiTheme="minorHAnsi" w:hAnsiTheme="minorHAnsi" w:cs="Arial"/>
                <w:szCs w:val="18"/>
              </w:rPr>
              <w:t>295 miles (475</w:t>
            </w:r>
            <w:r>
              <w:rPr>
                <w:rFonts w:asciiTheme="minorHAnsi" w:hAnsiTheme="minorHAnsi" w:cs="Arial"/>
                <w:szCs w:val="18"/>
              </w:rPr>
              <w:t xml:space="preserve"> </w:t>
            </w:r>
            <w:r w:rsidRPr="004241AE">
              <w:rPr>
                <w:rFonts w:asciiTheme="minorHAnsi" w:hAnsiTheme="minorHAnsi" w:cs="Arial"/>
                <w:szCs w:val="18"/>
              </w:rPr>
              <w:t>km)</w:t>
            </w:r>
          </w:p>
        </w:tc>
        <w:tc>
          <w:tcPr>
            <w:tcW w:w="5811" w:type="dxa"/>
            <w:shd w:val="clear" w:color="auto" w:fill="auto"/>
          </w:tcPr>
          <w:p w14:paraId="2D0827C4" w14:textId="4D7A16F1" w:rsidR="004241AE" w:rsidRPr="009A33E7" w:rsidRDefault="004241AE" w:rsidP="00085F62">
            <w:pPr>
              <w:rPr>
                <w:rFonts w:asciiTheme="minorHAnsi" w:hAnsiTheme="minorHAnsi" w:cs="Arial"/>
                <w:szCs w:val="18"/>
              </w:rPr>
            </w:pPr>
            <w:r>
              <w:rPr>
                <w:rFonts w:asciiTheme="minorHAnsi" w:hAnsiTheme="minorHAnsi" w:cs="Arial"/>
                <w:szCs w:val="18"/>
              </w:rPr>
              <w:t>P</w:t>
            </w:r>
            <w:r w:rsidRPr="004241AE">
              <w:rPr>
                <w:rFonts w:asciiTheme="minorHAnsi" w:hAnsiTheme="minorHAnsi" w:cs="Arial"/>
                <w:szCs w:val="18"/>
              </w:rPr>
              <w:t>avement</w:t>
            </w:r>
            <w:r>
              <w:rPr>
                <w:rFonts w:asciiTheme="minorHAnsi" w:hAnsiTheme="minorHAnsi" w:cs="Arial"/>
                <w:szCs w:val="18"/>
              </w:rPr>
              <w:t>s</w:t>
            </w:r>
            <w:r w:rsidRPr="004241AE">
              <w:rPr>
                <w:rFonts w:asciiTheme="minorHAnsi" w:hAnsiTheme="minorHAnsi" w:cs="Arial"/>
                <w:szCs w:val="18"/>
              </w:rPr>
              <w:t xml:space="preserve"> comprising of a mixture of high amenity, cycleways, footpaths, and other footways</w:t>
            </w:r>
          </w:p>
        </w:tc>
      </w:tr>
      <w:tr w:rsidR="004241AE" w:rsidRPr="002D7C7B" w14:paraId="0239C9A7" w14:textId="77777777" w:rsidTr="00085F62">
        <w:tc>
          <w:tcPr>
            <w:tcW w:w="2244" w:type="dxa"/>
            <w:shd w:val="clear" w:color="auto" w:fill="auto"/>
          </w:tcPr>
          <w:p w14:paraId="35777DE7" w14:textId="5818EF45" w:rsidR="004241AE" w:rsidRPr="009A33E7" w:rsidRDefault="004241AE" w:rsidP="00085F62">
            <w:pPr>
              <w:rPr>
                <w:rFonts w:asciiTheme="minorHAnsi" w:hAnsiTheme="minorHAnsi" w:cs="Arial"/>
                <w:szCs w:val="18"/>
              </w:rPr>
            </w:pPr>
            <w:r>
              <w:rPr>
                <w:rFonts w:asciiTheme="minorHAnsi" w:hAnsiTheme="minorHAnsi" w:cs="Arial"/>
                <w:szCs w:val="18"/>
              </w:rPr>
              <w:t>Structures</w:t>
            </w:r>
          </w:p>
        </w:tc>
        <w:tc>
          <w:tcPr>
            <w:tcW w:w="1675" w:type="dxa"/>
            <w:shd w:val="clear" w:color="auto" w:fill="auto"/>
          </w:tcPr>
          <w:p w14:paraId="4425E5ED" w14:textId="311E527A" w:rsidR="004241AE" w:rsidRPr="009A33E7" w:rsidRDefault="004241AE" w:rsidP="00085F62">
            <w:pPr>
              <w:jc w:val="center"/>
              <w:rPr>
                <w:rFonts w:asciiTheme="minorHAnsi" w:hAnsiTheme="minorHAnsi" w:cs="Arial"/>
                <w:szCs w:val="18"/>
              </w:rPr>
            </w:pPr>
            <w:r>
              <w:rPr>
                <w:rFonts w:asciiTheme="minorHAnsi" w:hAnsiTheme="minorHAnsi" w:cs="Arial"/>
                <w:szCs w:val="18"/>
              </w:rPr>
              <w:t>202</w:t>
            </w:r>
          </w:p>
        </w:tc>
        <w:tc>
          <w:tcPr>
            <w:tcW w:w="5811" w:type="dxa"/>
            <w:shd w:val="clear" w:color="auto" w:fill="auto"/>
          </w:tcPr>
          <w:p w14:paraId="7CF29B39" w14:textId="13B9DFEA" w:rsidR="004241AE" w:rsidRPr="009A33E7" w:rsidRDefault="009479E8" w:rsidP="00085F62">
            <w:pPr>
              <w:rPr>
                <w:rFonts w:asciiTheme="minorHAnsi" w:hAnsiTheme="minorHAnsi" w:cs="Arial"/>
                <w:szCs w:val="18"/>
              </w:rPr>
            </w:pPr>
            <w:r w:rsidRPr="009479E8">
              <w:rPr>
                <w:rFonts w:asciiTheme="minorHAnsi" w:hAnsiTheme="minorHAnsi" w:cs="Arial"/>
                <w:szCs w:val="18"/>
              </w:rPr>
              <w:t xml:space="preserve">Council structures asset is comprised of 64 road bridges, 6 footbridges, 87 culverts, 16 slipways and 25 Sea Walls and 4 subways </w:t>
            </w:r>
            <w:r>
              <w:rPr>
                <w:rFonts w:asciiTheme="minorHAnsi" w:hAnsiTheme="minorHAnsi" w:cs="Arial"/>
                <w:szCs w:val="18"/>
              </w:rPr>
              <w:t>/</w:t>
            </w:r>
            <w:r w:rsidRPr="009479E8">
              <w:rPr>
                <w:rFonts w:asciiTheme="minorHAnsi" w:hAnsiTheme="minorHAnsi" w:cs="Arial"/>
                <w:szCs w:val="18"/>
              </w:rPr>
              <w:t xml:space="preserve"> underpasses</w:t>
            </w:r>
          </w:p>
        </w:tc>
      </w:tr>
      <w:tr w:rsidR="004241AE" w:rsidRPr="002D7C7B" w14:paraId="2D935E7F" w14:textId="77777777" w:rsidTr="00085F62">
        <w:tc>
          <w:tcPr>
            <w:tcW w:w="2244" w:type="dxa"/>
            <w:shd w:val="clear" w:color="auto" w:fill="auto"/>
          </w:tcPr>
          <w:p w14:paraId="7DF9CD87" w14:textId="1B9D2C45" w:rsidR="004241AE" w:rsidRPr="009A33E7" w:rsidRDefault="009479E8" w:rsidP="00085F62">
            <w:pPr>
              <w:rPr>
                <w:rFonts w:asciiTheme="minorHAnsi" w:hAnsiTheme="minorHAnsi" w:cs="Arial"/>
                <w:szCs w:val="18"/>
              </w:rPr>
            </w:pPr>
            <w:r>
              <w:rPr>
                <w:rFonts w:asciiTheme="minorHAnsi" w:hAnsiTheme="minorHAnsi" w:cs="Arial"/>
                <w:szCs w:val="18"/>
              </w:rPr>
              <w:t>Street Lighting</w:t>
            </w:r>
          </w:p>
        </w:tc>
        <w:tc>
          <w:tcPr>
            <w:tcW w:w="1675" w:type="dxa"/>
            <w:shd w:val="clear" w:color="auto" w:fill="auto"/>
          </w:tcPr>
          <w:p w14:paraId="734EA748" w14:textId="4AD34E1C" w:rsidR="004241AE" w:rsidRPr="009A33E7" w:rsidRDefault="009479E8" w:rsidP="00085F62">
            <w:pPr>
              <w:jc w:val="center"/>
              <w:rPr>
                <w:rFonts w:asciiTheme="minorHAnsi" w:hAnsiTheme="minorHAnsi" w:cs="Arial"/>
                <w:szCs w:val="18"/>
              </w:rPr>
            </w:pPr>
            <w:r>
              <w:rPr>
                <w:rFonts w:asciiTheme="minorHAnsi" w:hAnsiTheme="minorHAnsi" w:cs="Arial"/>
                <w:szCs w:val="18"/>
              </w:rPr>
              <w:t>Various</w:t>
            </w:r>
          </w:p>
        </w:tc>
        <w:tc>
          <w:tcPr>
            <w:tcW w:w="5811" w:type="dxa"/>
            <w:shd w:val="clear" w:color="auto" w:fill="auto"/>
          </w:tcPr>
          <w:p w14:paraId="2B747403" w14:textId="02620B59" w:rsidR="004241AE" w:rsidRPr="009A33E7" w:rsidRDefault="009479E8" w:rsidP="00085F62">
            <w:pPr>
              <w:rPr>
                <w:rFonts w:asciiTheme="minorHAnsi" w:hAnsiTheme="minorHAnsi" w:cs="Arial"/>
                <w:szCs w:val="18"/>
              </w:rPr>
            </w:pPr>
            <w:r w:rsidRPr="009479E8">
              <w:rPr>
                <w:rFonts w:asciiTheme="minorHAnsi" w:hAnsiTheme="minorHAnsi" w:cs="Arial"/>
                <w:szCs w:val="18"/>
              </w:rPr>
              <w:t>Council street lighting asset is comprised of approximately 11,060 lighting columns, 12,870 lanterns (luminaires) and 274 km of buried cable</w:t>
            </w:r>
          </w:p>
        </w:tc>
      </w:tr>
      <w:tr w:rsidR="004241AE" w:rsidRPr="002D7C7B" w14:paraId="2E544E3B" w14:textId="77777777" w:rsidTr="00085F62">
        <w:tc>
          <w:tcPr>
            <w:tcW w:w="2244" w:type="dxa"/>
            <w:shd w:val="clear" w:color="auto" w:fill="auto"/>
          </w:tcPr>
          <w:p w14:paraId="099D0BF3" w14:textId="3234AFDA" w:rsidR="004241AE" w:rsidRPr="009A33E7" w:rsidRDefault="009479E8" w:rsidP="00085F62">
            <w:pPr>
              <w:rPr>
                <w:rFonts w:asciiTheme="minorHAnsi" w:hAnsiTheme="minorHAnsi" w:cs="Arial"/>
                <w:szCs w:val="18"/>
              </w:rPr>
            </w:pPr>
            <w:r>
              <w:rPr>
                <w:rFonts w:asciiTheme="minorHAnsi" w:hAnsiTheme="minorHAnsi" w:cs="Arial"/>
                <w:szCs w:val="18"/>
              </w:rPr>
              <w:t>Other Assets</w:t>
            </w:r>
          </w:p>
        </w:tc>
        <w:tc>
          <w:tcPr>
            <w:tcW w:w="1675" w:type="dxa"/>
            <w:shd w:val="clear" w:color="auto" w:fill="auto"/>
          </w:tcPr>
          <w:p w14:paraId="68E02CA3" w14:textId="2AAB4E51" w:rsidR="004241AE" w:rsidRPr="009A33E7" w:rsidRDefault="009479E8" w:rsidP="00085F62">
            <w:pPr>
              <w:jc w:val="center"/>
              <w:rPr>
                <w:rFonts w:asciiTheme="minorHAnsi" w:hAnsiTheme="minorHAnsi" w:cs="Arial"/>
                <w:szCs w:val="18"/>
              </w:rPr>
            </w:pPr>
            <w:r>
              <w:rPr>
                <w:rFonts w:asciiTheme="minorHAnsi" w:hAnsiTheme="minorHAnsi" w:cs="Arial"/>
                <w:szCs w:val="18"/>
              </w:rPr>
              <w:t>Not quantified</w:t>
            </w:r>
          </w:p>
        </w:tc>
        <w:tc>
          <w:tcPr>
            <w:tcW w:w="5811" w:type="dxa"/>
            <w:shd w:val="clear" w:color="auto" w:fill="auto"/>
          </w:tcPr>
          <w:p w14:paraId="7B1D4E5D" w14:textId="4EDA07C4" w:rsidR="004241AE" w:rsidRPr="009A33E7" w:rsidRDefault="009479E8" w:rsidP="00085F62">
            <w:pPr>
              <w:rPr>
                <w:rFonts w:asciiTheme="minorHAnsi" w:hAnsiTheme="minorHAnsi" w:cs="Arial"/>
                <w:szCs w:val="18"/>
              </w:rPr>
            </w:pPr>
            <w:r>
              <w:rPr>
                <w:rFonts w:asciiTheme="minorHAnsi" w:hAnsiTheme="minorHAnsi" w:cs="Arial"/>
                <w:szCs w:val="18"/>
              </w:rPr>
              <w:t>Other assets include d</w:t>
            </w:r>
            <w:r w:rsidRPr="009479E8">
              <w:rPr>
                <w:rFonts w:asciiTheme="minorHAnsi" w:hAnsiTheme="minorHAnsi" w:cs="Arial"/>
                <w:szCs w:val="18"/>
              </w:rPr>
              <w:t>rainage, traffic signals, verge, road markings, trees, safety barriers, pedestrian guard rail, traffic signs, kerbing</w:t>
            </w:r>
          </w:p>
        </w:tc>
      </w:tr>
    </w:tbl>
    <w:p w14:paraId="037EC88B" w14:textId="7AD04A76" w:rsidR="004241AE" w:rsidRDefault="004241AE">
      <w:pPr>
        <w:spacing w:after="200" w:line="276" w:lineRule="auto"/>
        <w:rPr>
          <w:rFonts w:eastAsiaTheme="majorEastAsia" w:cstheme="majorBidi"/>
          <w:b/>
          <w:bCs/>
        </w:rPr>
      </w:pPr>
      <w:r>
        <w:rPr>
          <w:rFonts w:eastAsiaTheme="majorEastAsia" w:cstheme="majorBidi"/>
          <w:b/>
          <w:bCs/>
        </w:rPr>
        <w:br w:type="page"/>
      </w:r>
    </w:p>
    <w:p w14:paraId="22899FC0" w14:textId="3C78DB38" w:rsidR="00CC29D4" w:rsidRDefault="00CC29D4" w:rsidP="00CC29D4">
      <w:pPr>
        <w:spacing w:after="200" w:line="276" w:lineRule="auto"/>
        <w:rPr>
          <w:rFonts w:eastAsiaTheme="majorEastAsia" w:cstheme="majorBidi"/>
          <w:b/>
          <w:bCs/>
        </w:rPr>
      </w:pPr>
      <w:r>
        <w:rPr>
          <w:rFonts w:eastAsiaTheme="majorEastAsia" w:cstheme="majorBidi"/>
          <w:b/>
          <w:bCs/>
        </w:rPr>
        <w:lastRenderedPageBreak/>
        <w:t xml:space="preserve">FLEET ASSET SUMMARY </w:t>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t>Appendix 1.4</w:t>
      </w:r>
    </w:p>
    <w:tbl>
      <w:tblPr>
        <w:tblpPr w:leftFromText="180" w:rightFromText="180" w:vertAnchor="page" w:horzAnchor="margin" w:tblpXSpec="center" w:tblpY="331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29"/>
        <w:gridCol w:w="1496"/>
      </w:tblGrid>
      <w:tr w:rsidR="00CC29D4" w:rsidRPr="002D7C7B" w14:paraId="25CD85A8" w14:textId="77777777" w:rsidTr="00CC29D4">
        <w:trPr>
          <w:jc w:val="center"/>
        </w:trPr>
        <w:tc>
          <w:tcPr>
            <w:tcW w:w="573" w:type="pct"/>
            <w:shd w:val="clear" w:color="auto" w:fill="E1E1FF"/>
          </w:tcPr>
          <w:p w14:paraId="14C2497E" w14:textId="7CC25032" w:rsidR="00CC29D4" w:rsidRPr="009A33E7" w:rsidRDefault="00CC29D4" w:rsidP="00877476">
            <w:pPr>
              <w:jc w:val="center"/>
              <w:rPr>
                <w:rFonts w:asciiTheme="minorHAnsi" w:hAnsiTheme="minorHAnsi" w:cs="Arial"/>
                <w:b/>
                <w:szCs w:val="18"/>
              </w:rPr>
            </w:pPr>
            <w:r>
              <w:rPr>
                <w:rFonts w:asciiTheme="minorHAnsi" w:hAnsiTheme="minorHAnsi" w:cs="Arial"/>
                <w:b/>
                <w:szCs w:val="18"/>
              </w:rPr>
              <w:t>APSE Vehicle Group</w:t>
            </w:r>
          </w:p>
        </w:tc>
        <w:tc>
          <w:tcPr>
            <w:tcW w:w="3668" w:type="pct"/>
            <w:shd w:val="clear" w:color="auto" w:fill="E1E1FF"/>
          </w:tcPr>
          <w:p w14:paraId="629D781A" w14:textId="330A8C17" w:rsidR="00CC29D4" w:rsidRPr="009A33E7" w:rsidRDefault="00877476" w:rsidP="00877476">
            <w:pPr>
              <w:rPr>
                <w:rFonts w:asciiTheme="minorHAnsi" w:hAnsiTheme="minorHAnsi" w:cs="Arial"/>
                <w:b/>
                <w:szCs w:val="18"/>
              </w:rPr>
            </w:pPr>
            <w:r>
              <w:rPr>
                <w:rFonts w:asciiTheme="minorHAnsi" w:hAnsiTheme="minorHAnsi" w:cs="Arial"/>
                <w:b/>
                <w:szCs w:val="18"/>
              </w:rPr>
              <w:t>Description</w:t>
            </w:r>
          </w:p>
        </w:tc>
        <w:tc>
          <w:tcPr>
            <w:tcW w:w="759" w:type="pct"/>
            <w:shd w:val="clear" w:color="auto" w:fill="E1E1FF"/>
          </w:tcPr>
          <w:p w14:paraId="4E1564EC" w14:textId="1B60D5B5" w:rsidR="00CC29D4" w:rsidRPr="009A33E7" w:rsidRDefault="00CC29D4" w:rsidP="00561F0E">
            <w:pPr>
              <w:jc w:val="center"/>
              <w:rPr>
                <w:rFonts w:asciiTheme="minorHAnsi" w:hAnsiTheme="minorHAnsi" w:cs="Arial"/>
                <w:b/>
                <w:szCs w:val="18"/>
              </w:rPr>
            </w:pPr>
            <w:r>
              <w:rPr>
                <w:rFonts w:asciiTheme="minorHAnsi" w:hAnsiTheme="minorHAnsi" w:cs="Arial"/>
                <w:b/>
                <w:szCs w:val="18"/>
              </w:rPr>
              <w:t xml:space="preserve">Number of </w:t>
            </w:r>
            <w:r w:rsidR="00877476">
              <w:rPr>
                <w:rFonts w:asciiTheme="minorHAnsi" w:hAnsiTheme="minorHAnsi" w:cs="Arial"/>
                <w:b/>
                <w:szCs w:val="18"/>
              </w:rPr>
              <w:t>Assets</w:t>
            </w:r>
          </w:p>
        </w:tc>
      </w:tr>
      <w:tr w:rsidR="00CC29D4" w:rsidRPr="002D7C7B" w14:paraId="0C88A08B" w14:textId="77777777" w:rsidTr="00CC29D4">
        <w:trPr>
          <w:jc w:val="center"/>
        </w:trPr>
        <w:tc>
          <w:tcPr>
            <w:tcW w:w="573" w:type="pct"/>
            <w:shd w:val="clear" w:color="auto" w:fill="auto"/>
          </w:tcPr>
          <w:p w14:paraId="588D424A" w14:textId="61A677AB" w:rsidR="00CC29D4" w:rsidRPr="009A33E7" w:rsidRDefault="00877476" w:rsidP="00877476">
            <w:pPr>
              <w:spacing w:after="0"/>
              <w:jc w:val="center"/>
              <w:rPr>
                <w:rFonts w:asciiTheme="minorHAnsi" w:hAnsiTheme="minorHAnsi" w:cs="Arial"/>
                <w:szCs w:val="18"/>
              </w:rPr>
            </w:pPr>
            <w:r>
              <w:rPr>
                <w:rFonts w:asciiTheme="minorHAnsi" w:hAnsiTheme="minorHAnsi" w:cs="Arial"/>
                <w:szCs w:val="18"/>
              </w:rPr>
              <w:t>1</w:t>
            </w:r>
          </w:p>
        </w:tc>
        <w:tc>
          <w:tcPr>
            <w:tcW w:w="3668" w:type="pct"/>
            <w:shd w:val="clear" w:color="auto" w:fill="auto"/>
          </w:tcPr>
          <w:p w14:paraId="28817A7D" w14:textId="0260EC8D" w:rsidR="00CC29D4" w:rsidRPr="009A33E7" w:rsidRDefault="00877476" w:rsidP="00877476">
            <w:pPr>
              <w:rPr>
                <w:rFonts w:asciiTheme="minorHAnsi" w:hAnsiTheme="minorHAnsi" w:cs="Arial"/>
                <w:szCs w:val="18"/>
              </w:rPr>
            </w:pPr>
            <w:r w:rsidRPr="00877476">
              <w:rPr>
                <w:rFonts w:asciiTheme="minorHAnsi" w:hAnsiTheme="minorHAnsi" w:cs="Arial"/>
                <w:szCs w:val="18"/>
              </w:rPr>
              <w:t>Cars and car derived vans up to 1700kg GVM</w:t>
            </w:r>
          </w:p>
        </w:tc>
        <w:tc>
          <w:tcPr>
            <w:tcW w:w="759" w:type="pct"/>
          </w:tcPr>
          <w:p w14:paraId="0A44CD67" w14:textId="44D75DEA" w:rsidR="00CC29D4" w:rsidRPr="009A33E7" w:rsidRDefault="00877476" w:rsidP="00561F0E">
            <w:pPr>
              <w:jc w:val="center"/>
              <w:rPr>
                <w:rFonts w:asciiTheme="minorHAnsi" w:hAnsiTheme="minorHAnsi" w:cs="Arial"/>
                <w:szCs w:val="18"/>
              </w:rPr>
            </w:pPr>
            <w:r>
              <w:rPr>
                <w:rFonts w:asciiTheme="minorHAnsi" w:hAnsiTheme="minorHAnsi" w:cs="Arial"/>
                <w:szCs w:val="18"/>
              </w:rPr>
              <w:t>53</w:t>
            </w:r>
          </w:p>
        </w:tc>
      </w:tr>
      <w:tr w:rsidR="00877476" w:rsidRPr="002D7C7B" w14:paraId="69EC14E2" w14:textId="77777777" w:rsidTr="00CC29D4">
        <w:trPr>
          <w:jc w:val="center"/>
        </w:trPr>
        <w:tc>
          <w:tcPr>
            <w:tcW w:w="573" w:type="pct"/>
            <w:shd w:val="clear" w:color="auto" w:fill="auto"/>
          </w:tcPr>
          <w:p w14:paraId="74CAD638" w14:textId="6812136F" w:rsidR="00877476" w:rsidRDefault="00877476" w:rsidP="00877476">
            <w:pPr>
              <w:spacing w:after="0"/>
              <w:jc w:val="center"/>
              <w:rPr>
                <w:rFonts w:asciiTheme="minorHAnsi" w:hAnsiTheme="minorHAnsi" w:cs="Arial"/>
                <w:szCs w:val="18"/>
              </w:rPr>
            </w:pPr>
            <w:r>
              <w:rPr>
                <w:rFonts w:asciiTheme="minorHAnsi" w:hAnsiTheme="minorHAnsi" w:cs="Arial"/>
                <w:szCs w:val="18"/>
              </w:rPr>
              <w:t>2</w:t>
            </w:r>
          </w:p>
        </w:tc>
        <w:tc>
          <w:tcPr>
            <w:tcW w:w="3668" w:type="pct"/>
            <w:shd w:val="clear" w:color="auto" w:fill="auto"/>
            <w:vAlign w:val="center"/>
          </w:tcPr>
          <w:p w14:paraId="24892266" w14:textId="5DDED379" w:rsidR="00877476" w:rsidRPr="009A33E7" w:rsidRDefault="00877476" w:rsidP="00877476">
            <w:pPr>
              <w:rPr>
                <w:rFonts w:asciiTheme="minorHAnsi" w:hAnsiTheme="minorHAnsi" w:cs="Arial"/>
                <w:szCs w:val="18"/>
              </w:rPr>
            </w:pPr>
            <w:r w:rsidRPr="00877476">
              <w:rPr>
                <w:rFonts w:asciiTheme="minorHAnsi" w:hAnsiTheme="minorHAnsi" w:cs="Arial"/>
                <w:szCs w:val="18"/>
              </w:rPr>
              <w:t>Vans between 1701 and 3500kg GVM</w:t>
            </w:r>
          </w:p>
        </w:tc>
        <w:tc>
          <w:tcPr>
            <w:tcW w:w="759" w:type="pct"/>
          </w:tcPr>
          <w:p w14:paraId="3BF966DE" w14:textId="0AD0F59D" w:rsidR="00877476" w:rsidRDefault="00877476" w:rsidP="00561F0E">
            <w:pPr>
              <w:jc w:val="center"/>
              <w:rPr>
                <w:rFonts w:asciiTheme="minorHAnsi" w:hAnsiTheme="minorHAnsi" w:cs="Arial"/>
                <w:szCs w:val="18"/>
              </w:rPr>
            </w:pPr>
            <w:r>
              <w:rPr>
                <w:rFonts w:asciiTheme="minorHAnsi" w:hAnsiTheme="minorHAnsi" w:cs="Arial"/>
                <w:szCs w:val="18"/>
              </w:rPr>
              <w:t>14</w:t>
            </w:r>
          </w:p>
        </w:tc>
      </w:tr>
      <w:tr w:rsidR="00877476" w:rsidRPr="002D7C7B" w14:paraId="7E41EA83" w14:textId="77777777" w:rsidTr="00CC29D4">
        <w:trPr>
          <w:jc w:val="center"/>
        </w:trPr>
        <w:tc>
          <w:tcPr>
            <w:tcW w:w="573" w:type="pct"/>
            <w:shd w:val="clear" w:color="auto" w:fill="auto"/>
          </w:tcPr>
          <w:p w14:paraId="20EA11D2" w14:textId="6C445A7D" w:rsidR="00877476" w:rsidRDefault="00877476" w:rsidP="00877476">
            <w:pPr>
              <w:spacing w:after="0"/>
              <w:jc w:val="center"/>
              <w:rPr>
                <w:rFonts w:asciiTheme="minorHAnsi" w:hAnsiTheme="minorHAnsi" w:cs="Arial"/>
                <w:szCs w:val="18"/>
              </w:rPr>
            </w:pPr>
            <w:r>
              <w:rPr>
                <w:rFonts w:asciiTheme="minorHAnsi" w:hAnsiTheme="minorHAnsi" w:cs="Arial"/>
                <w:szCs w:val="18"/>
              </w:rPr>
              <w:t>3</w:t>
            </w:r>
          </w:p>
        </w:tc>
        <w:tc>
          <w:tcPr>
            <w:tcW w:w="3668" w:type="pct"/>
            <w:shd w:val="clear" w:color="auto" w:fill="auto"/>
            <w:vAlign w:val="center"/>
          </w:tcPr>
          <w:p w14:paraId="4EBA7875" w14:textId="5041663D" w:rsidR="00877476" w:rsidRPr="009A33E7" w:rsidRDefault="00877476" w:rsidP="00877476">
            <w:pPr>
              <w:rPr>
                <w:rFonts w:asciiTheme="minorHAnsi" w:hAnsiTheme="minorHAnsi" w:cs="Arial"/>
                <w:szCs w:val="18"/>
              </w:rPr>
            </w:pPr>
            <w:r w:rsidRPr="00877476">
              <w:rPr>
                <w:rFonts w:asciiTheme="minorHAnsi" w:hAnsiTheme="minorHAnsi" w:cs="Arial"/>
                <w:szCs w:val="18"/>
              </w:rPr>
              <w:t>Trucks and Tippers up to 3500kg GVM</w:t>
            </w:r>
          </w:p>
        </w:tc>
        <w:tc>
          <w:tcPr>
            <w:tcW w:w="759" w:type="pct"/>
          </w:tcPr>
          <w:p w14:paraId="62AC122B" w14:textId="7796B36B" w:rsidR="00877476" w:rsidRDefault="00877476" w:rsidP="00561F0E">
            <w:pPr>
              <w:jc w:val="center"/>
              <w:rPr>
                <w:rFonts w:asciiTheme="minorHAnsi" w:hAnsiTheme="minorHAnsi" w:cs="Arial"/>
                <w:szCs w:val="18"/>
              </w:rPr>
            </w:pPr>
            <w:r>
              <w:rPr>
                <w:rFonts w:asciiTheme="minorHAnsi" w:hAnsiTheme="minorHAnsi" w:cs="Arial"/>
                <w:szCs w:val="18"/>
              </w:rPr>
              <w:t>27</w:t>
            </w:r>
          </w:p>
        </w:tc>
      </w:tr>
      <w:tr w:rsidR="00877476" w:rsidRPr="002D7C7B" w14:paraId="5F88DE9C" w14:textId="77777777" w:rsidTr="00CC29D4">
        <w:trPr>
          <w:jc w:val="center"/>
        </w:trPr>
        <w:tc>
          <w:tcPr>
            <w:tcW w:w="573" w:type="pct"/>
            <w:shd w:val="clear" w:color="auto" w:fill="auto"/>
          </w:tcPr>
          <w:p w14:paraId="41CE9D33" w14:textId="5665F44D" w:rsidR="00877476" w:rsidRDefault="00877476" w:rsidP="00877476">
            <w:pPr>
              <w:spacing w:after="0"/>
              <w:jc w:val="center"/>
              <w:rPr>
                <w:rFonts w:asciiTheme="minorHAnsi" w:hAnsiTheme="minorHAnsi" w:cs="Arial"/>
                <w:szCs w:val="18"/>
              </w:rPr>
            </w:pPr>
            <w:r>
              <w:rPr>
                <w:rFonts w:asciiTheme="minorHAnsi" w:hAnsiTheme="minorHAnsi" w:cs="Arial"/>
                <w:szCs w:val="18"/>
              </w:rPr>
              <w:t>4</w:t>
            </w:r>
          </w:p>
        </w:tc>
        <w:tc>
          <w:tcPr>
            <w:tcW w:w="3668" w:type="pct"/>
            <w:shd w:val="clear" w:color="auto" w:fill="auto"/>
            <w:vAlign w:val="center"/>
          </w:tcPr>
          <w:p w14:paraId="2E717FE0" w14:textId="12D99B75" w:rsidR="00877476" w:rsidRPr="009A33E7" w:rsidRDefault="00877476" w:rsidP="00877476">
            <w:pPr>
              <w:rPr>
                <w:rFonts w:asciiTheme="minorHAnsi" w:hAnsiTheme="minorHAnsi" w:cs="Arial"/>
                <w:szCs w:val="18"/>
              </w:rPr>
            </w:pPr>
            <w:r w:rsidRPr="00877476">
              <w:rPr>
                <w:rFonts w:asciiTheme="minorHAnsi" w:hAnsiTheme="minorHAnsi" w:cs="Arial"/>
                <w:szCs w:val="18"/>
              </w:rPr>
              <w:t>Vans, Trucks and Tippers between 3501 and 7500kg GVM</w:t>
            </w:r>
          </w:p>
        </w:tc>
        <w:tc>
          <w:tcPr>
            <w:tcW w:w="759" w:type="pct"/>
          </w:tcPr>
          <w:p w14:paraId="53437FC1" w14:textId="105FBE2C" w:rsidR="00877476" w:rsidRDefault="00877476" w:rsidP="00561F0E">
            <w:pPr>
              <w:jc w:val="center"/>
              <w:rPr>
                <w:rFonts w:asciiTheme="minorHAnsi" w:hAnsiTheme="minorHAnsi" w:cs="Arial"/>
                <w:szCs w:val="18"/>
              </w:rPr>
            </w:pPr>
            <w:r>
              <w:rPr>
                <w:rFonts w:asciiTheme="minorHAnsi" w:hAnsiTheme="minorHAnsi" w:cs="Arial"/>
                <w:szCs w:val="18"/>
              </w:rPr>
              <w:t>12</w:t>
            </w:r>
          </w:p>
        </w:tc>
      </w:tr>
      <w:tr w:rsidR="00877476" w:rsidRPr="002D7C7B" w14:paraId="1AA090FB" w14:textId="77777777" w:rsidTr="00CC29D4">
        <w:trPr>
          <w:jc w:val="center"/>
        </w:trPr>
        <w:tc>
          <w:tcPr>
            <w:tcW w:w="573" w:type="pct"/>
            <w:shd w:val="clear" w:color="auto" w:fill="auto"/>
          </w:tcPr>
          <w:p w14:paraId="20D0FC29" w14:textId="2D11E34A" w:rsidR="00877476" w:rsidRDefault="00877476" w:rsidP="00877476">
            <w:pPr>
              <w:spacing w:after="0"/>
              <w:jc w:val="center"/>
              <w:rPr>
                <w:rFonts w:asciiTheme="minorHAnsi" w:hAnsiTheme="minorHAnsi" w:cs="Arial"/>
                <w:szCs w:val="18"/>
              </w:rPr>
            </w:pPr>
            <w:r>
              <w:rPr>
                <w:rFonts w:asciiTheme="minorHAnsi" w:hAnsiTheme="minorHAnsi" w:cs="Arial"/>
                <w:szCs w:val="18"/>
              </w:rPr>
              <w:t>5</w:t>
            </w:r>
          </w:p>
        </w:tc>
        <w:tc>
          <w:tcPr>
            <w:tcW w:w="3668" w:type="pct"/>
            <w:shd w:val="clear" w:color="auto" w:fill="auto"/>
            <w:vAlign w:val="center"/>
          </w:tcPr>
          <w:p w14:paraId="0C66838B" w14:textId="7FAAB567" w:rsidR="00877476" w:rsidRPr="009A33E7" w:rsidRDefault="00877476" w:rsidP="00877476">
            <w:pPr>
              <w:rPr>
                <w:rFonts w:asciiTheme="minorHAnsi" w:hAnsiTheme="minorHAnsi" w:cs="Arial"/>
                <w:szCs w:val="18"/>
              </w:rPr>
            </w:pPr>
            <w:r w:rsidRPr="00877476">
              <w:rPr>
                <w:rFonts w:asciiTheme="minorHAnsi" w:hAnsiTheme="minorHAnsi" w:cs="Arial"/>
                <w:szCs w:val="18"/>
              </w:rPr>
              <w:t>Vans, Trucks and Tippers between 7501 and 18000kg GVM</w:t>
            </w:r>
          </w:p>
        </w:tc>
        <w:tc>
          <w:tcPr>
            <w:tcW w:w="759" w:type="pct"/>
          </w:tcPr>
          <w:p w14:paraId="53D12C62" w14:textId="5036720E" w:rsidR="00877476" w:rsidRDefault="00877476" w:rsidP="00561F0E">
            <w:pPr>
              <w:jc w:val="center"/>
              <w:rPr>
                <w:rFonts w:asciiTheme="minorHAnsi" w:hAnsiTheme="minorHAnsi" w:cs="Arial"/>
                <w:szCs w:val="18"/>
              </w:rPr>
            </w:pPr>
            <w:r>
              <w:rPr>
                <w:rFonts w:asciiTheme="minorHAnsi" w:hAnsiTheme="minorHAnsi" w:cs="Arial"/>
                <w:szCs w:val="18"/>
              </w:rPr>
              <w:t>4</w:t>
            </w:r>
          </w:p>
        </w:tc>
      </w:tr>
      <w:tr w:rsidR="00877476" w:rsidRPr="002D7C7B" w14:paraId="518D6BD0" w14:textId="77777777" w:rsidTr="00CC29D4">
        <w:trPr>
          <w:jc w:val="center"/>
        </w:trPr>
        <w:tc>
          <w:tcPr>
            <w:tcW w:w="573" w:type="pct"/>
            <w:shd w:val="clear" w:color="auto" w:fill="auto"/>
          </w:tcPr>
          <w:p w14:paraId="6B540DFB" w14:textId="5F53ED6B" w:rsidR="00877476" w:rsidRDefault="00877476" w:rsidP="00877476">
            <w:pPr>
              <w:spacing w:after="0"/>
              <w:jc w:val="center"/>
              <w:rPr>
                <w:rFonts w:asciiTheme="minorHAnsi" w:hAnsiTheme="minorHAnsi" w:cs="Arial"/>
                <w:szCs w:val="18"/>
              </w:rPr>
            </w:pPr>
            <w:r>
              <w:rPr>
                <w:rFonts w:asciiTheme="minorHAnsi" w:hAnsiTheme="minorHAnsi" w:cs="Arial"/>
                <w:szCs w:val="18"/>
              </w:rPr>
              <w:t>6</w:t>
            </w:r>
          </w:p>
        </w:tc>
        <w:tc>
          <w:tcPr>
            <w:tcW w:w="3668" w:type="pct"/>
            <w:shd w:val="clear" w:color="auto" w:fill="auto"/>
            <w:vAlign w:val="center"/>
          </w:tcPr>
          <w:p w14:paraId="12A9368B" w14:textId="1F2A66E6" w:rsidR="00877476" w:rsidRPr="009A33E7" w:rsidRDefault="00877476" w:rsidP="00877476">
            <w:pPr>
              <w:rPr>
                <w:rFonts w:asciiTheme="minorHAnsi" w:hAnsiTheme="minorHAnsi" w:cs="Arial"/>
                <w:szCs w:val="18"/>
              </w:rPr>
            </w:pPr>
            <w:r w:rsidRPr="00877476">
              <w:rPr>
                <w:rFonts w:asciiTheme="minorHAnsi" w:hAnsiTheme="minorHAnsi" w:cs="Arial"/>
                <w:szCs w:val="18"/>
              </w:rPr>
              <w:t>Standard Manufacture Minibuses up to 17 seats including Driver</w:t>
            </w:r>
          </w:p>
        </w:tc>
        <w:tc>
          <w:tcPr>
            <w:tcW w:w="759" w:type="pct"/>
          </w:tcPr>
          <w:p w14:paraId="009E3CC1" w14:textId="01BD374C" w:rsidR="00877476" w:rsidRDefault="00877476" w:rsidP="00561F0E">
            <w:pPr>
              <w:jc w:val="center"/>
              <w:rPr>
                <w:rFonts w:asciiTheme="minorHAnsi" w:hAnsiTheme="minorHAnsi" w:cs="Arial"/>
                <w:szCs w:val="18"/>
              </w:rPr>
            </w:pPr>
            <w:r>
              <w:rPr>
                <w:rFonts w:asciiTheme="minorHAnsi" w:hAnsiTheme="minorHAnsi" w:cs="Arial"/>
                <w:szCs w:val="18"/>
              </w:rPr>
              <w:t>12</w:t>
            </w:r>
          </w:p>
        </w:tc>
      </w:tr>
      <w:tr w:rsidR="00877476" w:rsidRPr="002D7C7B" w14:paraId="7D6AB55A" w14:textId="77777777" w:rsidTr="00CC29D4">
        <w:trPr>
          <w:jc w:val="center"/>
        </w:trPr>
        <w:tc>
          <w:tcPr>
            <w:tcW w:w="573" w:type="pct"/>
            <w:shd w:val="clear" w:color="auto" w:fill="auto"/>
          </w:tcPr>
          <w:p w14:paraId="396DF124" w14:textId="3E16E17C" w:rsidR="00877476" w:rsidRDefault="00877476" w:rsidP="00877476">
            <w:pPr>
              <w:spacing w:after="0"/>
              <w:jc w:val="center"/>
              <w:rPr>
                <w:rFonts w:asciiTheme="minorHAnsi" w:hAnsiTheme="minorHAnsi" w:cs="Arial"/>
                <w:szCs w:val="18"/>
              </w:rPr>
            </w:pPr>
            <w:r>
              <w:rPr>
                <w:rFonts w:asciiTheme="minorHAnsi" w:hAnsiTheme="minorHAnsi" w:cs="Arial"/>
                <w:szCs w:val="18"/>
              </w:rPr>
              <w:t>7</w:t>
            </w:r>
          </w:p>
        </w:tc>
        <w:tc>
          <w:tcPr>
            <w:tcW w:w="3668" w:type="pct"/>
            <w:shd w:val="clear" w:color="auto" w:fill="auto"/>
            <w:vAlign w:val="center"/>
          </w:tcPr>
          <w:p w14:paraId="49C8CA91" w14:textId="65DC928B" w:rsidR="00877476" w:rsidRPr="009A33E7" w:rsidRDefault="00877476" w:rsidP="00877476">
            <w:pPr>
              <w:rPr>
                <w:rFonts w:asciiTheme="minorHAnsi" w:hAnsiTheme="minorHAnsi" w:cs="Arial"/>
                <w:szCs w:val="18"/>
              </w:rPr>
            </w:pPr>
            <w:r w:rsidRPr="00877476">
              <w:rPr>
                <w:rFonts w:asciiTheme="minorHAnsi" w:hAnsiTheme="minorHAnsi" w:cs="Arial"/>
                <w:szCs w:val="18"/>
              </w:rPr>
              <w:t>Medium Coaches incl. Welfare/Accessible Buses</w:t>
            </w:r>
          </w:p>
        </w:tc>
        <w:tc>
          <w:tcPr>
            <w:tcW w:w="759" w:type="pct"/>
          </w:tcPr>
          <w:p w14:paraId="37100A5F" w14:textId="23594289" w:rsidR="00877476" w:rsidRDefault="00877476" w:rsidP="00561F0E">
            <w:pPr>
              <w:jc w:val="center"/>
              <w:rPr>
                <w:rFonts w:asciiTheme="minorHAnsi" w:hAnsiTheme="minorHAnsi" w:cs="Arial"/>
                <w:szCs w:val="18"/>
              </w:rPr>
            </w:pPr>
            <w:r>
              <w:rPr>
                <w:rFonts w:asciiTheme="minorHAnsi" w:hAnsiTheme="minorHAnsi" w:cs="Arial"/>
                <w:szCs w:val="18"/>
              </w:rPr>
              <w:t>9</w:t>
            </w:r>
          </w:p>
        </w:tc>
      </w:tr>
      <w:tr w:rsidR="00877476" w:rsidRPr="002D7C7B" w14:paraId="6E7345C6" w14:textId="77777777" w:rsidTr="00CC29D4">
        <w:trPr>
          <w:jc w:val="center"/>
        </w:trPr>
        <w:tc>
          <w:tcPr>
            <w:tcW w:w="573" w:type="pct"/>
            <w:shd w:val="clear" w:color="auto" w:fill="auto"/>
          </w:tcPr>
          <w:p w14:paraId="1CE6BDCF" w14:textId="1AAB6604" w:rsidR="00877476" w:rsidRDefault="00877476" w:rsidP="00877476">
            <w:pPr>
              <w:spacing w:after="0"/>
              <w:jc w:val="center"/>
              <w:rPr>
                <w:rFonts w:asciiTheme="minorHAnsi" w:hAnsiTheme="minorHAnsi" w:cs="Arial"/>
                <w:szCs w:val="18"/>
              </w:rPr>
            </w:pPr>
            <w:r>
              <w:rPr>
                <w:rFonts w:asciiTheme="minorHAnsi" w:hAnsiTheme="minorHAnsi" w:cs="Arial"/>
                <w:szCs w:val="18"/>
              </w:rPr>
              <w:t>11</w:t>
            </w:r>
          </w:p>
        </w:tc>
        <w:tc>
          <w:tcPr>
            <w:tcW w:w="3668" w:type="pct"/>
            <w:shd w:val="clear" w:color="auto" w:fill="auto"/>
            <w:vAlign w:val="center"/>
          </w:tcPr>
          <w:p w14:paraId="5B0C72C2" w14:textId="0FF68D8A" w:rsidR="00877476" w:rsidRPr="009A33E7" w:rsidRDefault="00877476" w:rsidP="00877476">
            <w:pPr>
              <w:rPr>
                <w:rFonts w:asciiTheme="minorHAnsi" w:hAnsiTheme="minorHAnsi" w:cs="Arial"/>
                <w:szCs w:val="18"/>
              </w:rPr>
            </w:pPr>
            <w:r w:rsidRPr="00877476">
              <w:rPr>
                <w:rFonts w:asciiTheme="minorHAnsi" w:hAnsiTheme="minorHAnsi" w:cs="Arial"/>
                <w:szCs w:val="18"/>
              </w:rPr>
              <w:t>Refuse Collection Vehicles - 3 axle and above with bin-lifter</w:t>
            </w:r>
          </w:p>
        </w:tc>
        <w:tc>
          <w:tcPr>
            <w:tcW w:w="759" w:type="pct"/>
          </w:tcPr>
          <w:p w14:paraId="079B5E09" w14:textId="7E310CB4" w:rsidR="00877476" w:rsidRDefault="00877476" w:rsidP="00561F0E">
            <w:pPr>
              <w:jc w:val="center"/>
              <w:rPr>
                <w:rFonts w:asciiTheme="minorHAnsi" w:hAnsiTheme="minorHAnsi" w:cs="Arial"/>
                <w:szCs w:val="18"/>
              </w:rPr>
            </w:pPr>
            <w:r>
              <w:rPr>
                <w:rFonts w:asciiTheme="minorHAnsi" w:hAnsiTheme="minorHAnsi" w:cs="Arial"/>
                <w:szCs w:val="18"/>
              </w:rPr>
              <w:t>12</w:t>
            </w:r>
          </w:p>
        </w:tc>
      </w:tr>
      <w:tr w:rsidR="00877476" w:rsidRPr="002D7C7B" w14:paraId="58C1455B" w14:textId="77777777" w:rsidTr="00CC29D4">
        <w:trPr>
          <w:jc w:val="center"/>
        </w:trPr>
        <w:tc>
          <w:tcPr>
            <w:tcW w:w="573" w:type="pct"/>
            <w:shd w:val="clear" w:color="auto" w:fill="auto"/>
          </w:tcPr>
          <w:p w14:paraId="5748BA35" w14:textId="13D624E9" w:rsidR="00877476" w:rsidRDefault="00877476" w:rsidP="00877476">
            <w:pPr>
              <w:spacing w:after="0"/>
              <w:jc w:val="center"/>
              <w:rPr>
                <w:rFonts w:asciiTheme="minorHAnsi" w:hAnsiTheme="minorHAnsi" w:cs="Arial"/>
                <w:szCs w:val="18"/>
              </w:rPr>
            </w:pPr>
            <w:r>
              <w:rPr>
                <w:rFonts w:asciiTheme="minorHAnsi" w:hAnsiTheme="minorHAnsi" w:cs="Arial"/>
                <w:szCs w:val="18"/>
              </w:rPr>
              <w:t>14</w:t>
            </w:r>
          </w:p>
        </w:tc>
        <w:tc>
          <w:tcPr>
            <w:tcW w:w="3668" w:type="pct"/>
            <w:shd w:val="clear" w:color="auto" w:fill="auto"/>
            <w:vAlign w:val="center"/>
          </w:tcPr>
          <w:p w14:paraId="1C1C7812" w14:textId="28E308FD" w:rsidR="00877476" w:rsidRPr="009A33E7" w:rsidRDefault="00877476" w:rsidP="00877476">
            <w:pPr>
              <w:rPr>
                <w:rFonts w:asciiTheme="minorHAnsi" w:hAnsiTheme="minorHAnsi" w:cs="Arial"/>
                <w:szCs w:val="18"/>
              </w:rPr>
            </w:pPr>
            <w:r w:rsidRPr="00877476">
              <w:rPr>
                <w:rFonts w:asciiTheme="minorHAnsi" w:hAnsiTheme="minorHAnsi" w:cs="Arial"/>
                <w:szCs w:val="18"/>
              </w:rPr>
              <w:t>Large Coaches incl. Welfare/Accessible Buses</w:t>
            </w:r>
          </w:p>
        </w:tc>
        <w:tc>
          <w:tcPr>
            <w:tcW w:w="759" w:type="pct"/>
          </w:tcPr>
          <w:p w14:paraId="0B3704D6" w14:textId="3227D2F5" w:rsidR="00877476" w:rsidRDefault="00877476" w:rsidP="00561F0E">
            <w:pPr>
              <w:jc w:val="center"/>
              <w:rPr>
                <w:rFonts w:asciiTheme="minorHAnsi" w:hAnsiTheme="minorHAnsi" w:cs="Arial"/>
                <w:szCs w:val="18"/>
              </w:rPr>
            </w:pPr>
            <w:r>
              <w:rPr>
                <w:rFonts w:asciiTheme="minorHAnsi" w:hAnsiTheme="minorHAnsi" w:cs="Arial"/>
                <w:szCs w:val="18"/>
              </w:rPr>
              <w:t>2</w:t>
            </w:r>
          </w:p>
        </w:tc>
      </w:tr>
      <w:tr w:rsidR="00CC29D4" w:rsidRPr="002D7C7B" w14:paraId="14E584A1" w14:textId="77777777" w:rsidTr="00CC29D4">
        <w:trPr>
          <w:jc w:val="center"/>
        </w:trPr>
        <w:tc>
          <w:tcPr>
            <w:tcW w:w="573" w:type="pct"/>
            <w:shd w:val="clear" w:color="auto" w:fill="auto"/>
          </w:tcPr>
          <w:p w14:paraId="10184355" w14:textId="15FA1A04" w:rsidR="00CC29D4" w:rsidRDefault="00877476" w:rsidP="00877476">
            <w:pPr>
              <w:spacing w:after="0"/>
              <w:jc w:val="center"/>
              <w:rPr>
                <w:rFonts w:asciiTheme="minorHAnsi" w:hAnsiTheme="minorHAnsi" w:cs="Arial"/>
                <w:szCs w:val="18"/>
              </w:rPr>
            </w:pPr>
            <w:r>
              <w:rPr>
                <w:rFonts w:asciiTheme="minorHAnsi" w:hAnsiTheme="minorHAnsi" w:cs="Arial"/>
                <w:szCs w:val="18"/>
              </w:rPr>
              <w:t>16</w:t>
            </w:r>
          </w:p>
        </w:tc>
        <w:tc>
          <w:tcPr>
            <w:tcW w:w="3668" w:type="pct"/>
            <w:shd w:val="clear" w:color="auto" w:fill="auto"/>
            <w:vAlign w:val="center"/>
          </w:tcPr>
          <w:p w14:paraId="0DDBCF60" w14:textId="6A3AB218" w:rsidR="00CC29D4" w:rsidRPr="009A33E7" w:rsidRDefault="00877476" w:rsidP="00877476">
            <w:pPr>
              <w:rPr>
                <w:rFonts w:asciiTheme="minorHAnsi" w:hAnsiTheme="minorHAnsi" w:cs="Arial"/>
                <w:szCs w:val="18"/>
              </w:rPr>
            </w:pPr>
            <w:r w:rsidRPr="00877476">
              <w:rPr>
                <w:rFonts w:asciiTheme="minorHAnsi" w:hAnsiTheme="minorHAnsi" w:cs="Arial"/>
                <w:szCs w:val="18"/>
              </w:rPr>
              <w:t>Sweepers up to 12000kg GVM</w:t>
            </w:r>
          </w:p>
        </w:tc>
        <w:tc>
          <w:tcPr>
            <w:tcW w:w="759" w:type="pct"/>
          </w:tcPr>
          <w:p w14:paraId="44AF51E5" w14:textId="22E55504" w:rsidR="00CC29D4" w:rsidRDefault="00877476" w:rsidP="00561F0E">
            <w:pPr>
              <w:jc w:val="center"/>
              <w:rPr>
                <w:rFonts w:asciiTheme="minorHAnsi" w:hAnsiTheme="minorHAnsi" w:cs="Arial"/>
                <w:szCs w:val="18"/>
              </w:rPr>
            </w:pPr>
            <w:r>
              <w:rPr>
                <w:rFonts w:asciiTheme="minorHAnsi" w:hAnsiTheme="minorHAnsi" w:cs="Arial"/>
                <w:szCs w:val="18"/>
              </w:rPr>
              <w:t>4</w:t>
            </w:r>
          </w:p>
        </w:tc>
      </w:tr>
      <w:tr w:rsidR="00CC29D4" w:rsidRPr="002D7C7B" w14:paraId="2036C0A9" w14:textId="77777777" w:rsidTr="00CC29D4">
        <w:trPr>
          <w:jc w:val="center"/>
        </w:trPr>
        <w:tc>
          <w:tcPr>
            <w:tcW w:w="573" w:type="pct"/>
            <w:shd w:val="clear" w:color="auto" w:fill="auto"/>
          </w:tcPr>
          <w:p w14:paraId="441DBE13" w14:textId="4AB5C435" w:rsidR="00CC29D4" w:rsidRDefault="00877476" w:rsidP="00877476">
            <w:pPr>
              <w:spacing w:after="0"/>
              <w:jc w:val="center"/>
              <w:rPr>
                <w:rFonts w:asciiTheme="minorHAnsi" w:hAnsiTheme="minorHAnsi" w:cs="Arial"/>
                <w:szCs w:val="18"/>
              </w:rPr>
            </w:pPr>
            <w:r>
              <w:rPr>
                <w:rFonts w:asciiTheme="minorHAnsi" w:hAnsiTheme="minorHAnsi" w:cs="Arial"/>
                <w:szCs w:val="18"/>
              </w:rPr>
              <w:t>17</w:t>
            </w:r>
          </w:p>
        </w:tc>
        <w:tc>
          <w:tcPr>
            <w:tcW w:w="3668" w:type="pct"/>
            <w:shd w:val="clear" w:color="auto" w:fill="auto"/>
            <w:vAlign w:val="center"/>
          </w:tcPr>
          <w:p w14:paraId="4411B179" w14:textId="08673C6A" w:rsidR="00CC29D4" w:rsidRPr="009A33E7" w:rsidRDefault="00877476" w:rsidP="00877476">
            <w:pPr>
              <w:rPr>
                <w:rFonts w:asciiTheme="minorHAnsi" w:hAnsiTheme="minorHAnsi" w:cs="Arial"/>
                <w:szCs w:val="18"/>
              </w:rPr>
            </w:pPr>
            <w:r w:rsidRPr="00877476">
              <w:rPr>
                <w:rFonts w:asciiTheme="minorHAnsi" w:hAnsiTheme="minorHAnsi" w:cs="Arial"/>
                <w:szCs w:val="18"/>
              </w:rPr>
              <w:t>Jetters and Cesspool Emptiers</w:t>
            </w:r>
          </w:p>
        </w:tc>
        <w:tc>
          <w:tcPr>
            <w:tcW w:w="759" w:type="pct"/>
          </w:tcPr>
          <w:p w14:paraId="75D24F3D" w14:textId="57916864" w:rsidR="00CC29D4" w:rsidRDefault="00877476" w:rsidP="00561F0E">
            <w:pPr>
              <w:jc w:val="center"/>
              <w:rPr>
                <w:rFonts w:asciiTheme="minorHAnsi" w:hAnsiTheme="minorHAnsi" w:cs="Arial"/>
                <w:szCs w:val="18"/>
              </w:rPr>
            </w:pPr>
            <w:r>
              <w:rPr>
                <w:rFonts w:asciiTheme="minorHAnsi" w:hAnsiTheme="minorHAnsi" w:cs="Arial"/>
                <w:szCs w:val="18"/>
              </w:rPr>
              <w:t>1</w:t>
            </w:r>
          </w:p>
        </w:tc>
      </w:tr>
      <w:tr w:rsidR="00CC29D4" w:rsidRPr="002D7C7B" w14:paraId="7787638E" w14:textId="77777777" w:rsidTr="00CC29D4">
        <w:trPr>
          <w:jc w:val="center"/>
        </w:trPr>
        <w:tc>
          <w:tcPr>
            <w:tcW w:w="573" w:type="pct"/>
            <w:shd w:val="clear" w:color="auto" w:fill="auto"/>
          </w:tcPr>
          <w:p w14:paraId="6F89E3A4" w14:textId="7A28D800" w:rsidR="00CC29D4" w:rsidRDefault="00877476" w:rsidP="00877476">
            <w:pPr>
              <w:spacing w:after="0"/>
              <w:jc w:val="center"/>
              <w:rPr>
                <w:rFonts w:asciiTheme="minorHAnsi" w:hAnsiTheme="minorHAnsi" w:cs="Arial"/>
                <w:szCs w:val="18"/>
              </w:rPr>
            </w:pPr>
            <w:r>
              <w:rPr>
                <w:rFonts w:asciiTheme="minorHAnsi" w:hAnsiTheme="minorHAnsi" w:cs="Arial"/>
                <w:szCs w:val="18"/>
              </w:rPr>
              <w:t>18</w:t>
            </w:r>
          </w:p>
        </w:tc>
        <w:tc>
          <w:tcPr>
            <w:tcW w:w="3668" w:type="pct"/>
            <w:shd w:val="clear" w:color="auto" w:fill="auto"/>
            <w:vAlign w:val="center"/>
          </w:tcPr>
          <w:p w14:paraId="17EEF906" w14:textId="349BBC87" w:rsidR="00CC29D4" w:rsidRPr="009A33E7" w:rsidRDefault="00877476" w:rsidP="00877476">
            <w:pPr>
              <w:rPr>
                <w:rFonts w:asciiTheme="minorHAnsi" w:hAnsiTheme="minorHAnsi" w:cs="Arial"/>
                <w:szCs w:val="18"/>
              </w:rPr>
            </w:pPr>
            <w:r w:rsidRPr="00877476">
              <w:rPr>
                <w:rFonts w:asciiTheme="minorHAnsi" w:hAnsiTheme="minorHAnsi" w:cs="Arial"/>
                <w:szCs w:val="18"/>
              </w:rPr>
              <w:t>Skip Loaders</w:t>
            </w:r>
          </w:p>
        </w:tc>
        <w:tc>
          <w:tcPr>
            <w:tcW w:w="759" w:type="pct"/>
          </w:tcPr>
          <w:p w14:paraId="45D42B21" w14:textId="06C62545" w:rsidR="00CC29D4" w:rsidRDefault="00877476" w:rsidP="00561F0E">
            <w:pPr>
              <w:jc w:val="center"/>
              <w:rPr>
                <w:rFonts w:asciiTheme="minorHAnsi" w:hAnsiTheme="minorHAnsi" w:cs="Arial"/>
                <w:szCs w:val="18"/>
              </w:rPr>
            </w:pPr>
            <w:r>
              <w:rPr>
                <w:rFonts w:asciiTheme="minorHAnsi" w:hAnsiTheme="minorHAnsi" w:cs="Arial"/>
                <w:szCs w:val="18"/>
              </w:rPr>
              <w:t>1</w:t>
            </w:r>
          </w:p>
        </w:tc>
      </w:tr>
      <w:tr w:rsidR="00CC29D4" w:rsidRPr="002D7C7B" w14:paraId="0E8D370D" w14:textId="77777777" w:rsidTr="00CC29D4">
        <w:trPr>
          <w:jc w:val="center"/>
        </w:trPr>
        <w:tc>
          <w:tcPr>
            <w:tcW w:w="573" w:type="pct"/>
            <w:shd w:val="clear" w:color="auto" w:fill="auto"/>
          </w:tcPr>
          <w:p w14:paraId="28E0213E" w14:textId="79D82F13" w:rsidR="00CC29D4" w:rsidRDefault="00877476" w:rsidP="00877476">
            <w:pPr>
              <w:spacing w:after="0"/>
              <w:jc w:val="center"/>
              <w:rPr>
                <w:rFonts w:asciiTheme="minorHAnsi" w:hAnsiTheme="minorHAnsi" w:cs="Arial"/>
                <w:szCs w:val="18"/>
              </w:rPr>
            </w:pPr>
            <w:r>
              <w:rPr>
                <w:rFonts w:asciiTheme="minorHAnsi" w:hAnsiTheme="minorHAnsi" w:cs="Arial"/>
                <w:szCs w:val="18"/>
              </w:rPr>
              <w:t>23</w:t>
            </w:r>
          </w:p>
        </w:tc>
        <w:tc>
          <w:tcPr>
            <w:tcW w:w="3668" w:type="pct"/>
            <w:shd w:val="clear" w:color="auto" w:fill="auto"/>
            <w:vAlign w:val="center"/>
          </w:tcPr>
          <w:p w14:paraId="396819B8" w14:textId="57260E9E" w:rsidR="00CC29D4" w:rsidRPr="009A33E7" w:rsidRDefault="00877476" w:rsidP="00877476">
            <w:pPr>
              <w:rPr>
                <w:rFonts w:asciiTheme="minorHAnsi" w:hAnsiTheme="minorHAnsi" w:cs="Arial"/>
                <w:szCs w:val="18"/>
              </w:rPr>
            </w:pPr>
            <w:r w:rsidRPr="00877476">
              <w:rPr>
                <w:rFonts w:asciiTheme="minorHAnsi" w:hAnsiTheme="minorHAnsi" w:cs="Arial"/>
                <w:szCs w:val="18"/>
              </w:rPr>
              <w:t>Bulk Loaders</w:t>
            </w:r>
          </w:p>
        </w:tc>
        <w:tc>
          <w:tcPr>
            <w:tcW w:w="759" w:type="pct"/>
          </w:tcPr>
          <w:p w14:paraId="69AF8BA5" w14:textId="5EE83EE2" w:rsidR="00CC29D4" w:rsidRDefault="00877476" w:rsidP="00561F0E">
            <w:pPr>
              <w:jc w:val="center"/>
              <w:rPr>
                <w:rFonts w:asciiTheme="minorHAnsi" w:hAnsiTheme="minorHAnsi" w:cs="Arial"/>
                <w:szCs w:val="18"/>
              </w:rPr>
            </w:pPr>
            <w:r>
              <w:rPr>
                <w:rFonts w:asciiTheme="minorHAnsi" w:hAnsiTheme="minorHAnsi" w:cs="Arial"/>
                <w:szCs w:val="18"/>
              </w:rPr>
              <w:t>1</w:t>
            </w:r>
          </w:p>
        </w:tc>
      </w:tr>
      <w:tr w:rsidR="00CC29D4" w:rsidRPr="002D7C7B" w14:paraId="79CC6CC8" w14:textId="77777777" w:rsidTr="00CC29D4">
        <w:trPr>
          <w:jc w:val="center"/>
        </w:trPr>
        <w:tc>
          <w:tcPr>
            <w:tcW w:w="573" w:type="pct"/>
            <w:shd w:val="clear" w:color="auto" w:fill="auto"/>
          </w:tcPr>
          <w:p w14:paraId="279F639E" w14:textId="1A86DBAB" w:rsidR="00CC29D4" w:rsidRDefault="00877476" w:rsidP="00877476">
            <w:pPr>
              <w:spacing w:after="0"/>
              <w:jc w:val="center"/>
              <w:rPr>
                <w:rFonts w:asciiTheme="minorHAnsi" w:hAnsiTheme="minorHAnsi" w:cs="Arial"/>
                <w:szCs w:val="18"/>
              </w:rPr>
            </w:pPr>
            <w:r>
              <w:rPr>
                <w:rFonts w:asciiTheme="minorHAnsi" w:hAnsiTheme="minorHAnsi" w:cs="Arial"/>
                <w:szCs w:val="18"/>
              </w:rPr>
              <w:t>24</w:t>
            </w:r>
          </w:p>
        </w:tc>
        <w:tc>
          <w:tcPr>
            <w:tcW w:w="3668" w:type="pct"/>
            <w:shd w:val="clear" w:color="auto" w:fill="auto"/>
            <w:vAlign w:val="center"/>
          </w:tcPr>
          <w:p w14:paraId="28BD7EEA" w14:textId="25A61A52" w:rsidR="00CC29D4" w:rsidRPr="009A33E7" w:rsidRDefault="005C7273" w:rsidP="00877476">
            <w:pPr>
              <w:rPr>
                <w:rFonts w:asciiTheme="minorHAnsi" w:hAnsiTheme="minorHAnsi" w:cs="Arial"/>
                <w:szCs w:val="18"/>
              </w:rPr>
            </w:pPr>
            <w:r w:rsidRPr="005C7273">
              <w:rPr>
                <w:rFonts w:asciiTheme="minorHAnsi" w:hAnsiTheme="minorHAnsi" w:cs="Arial"/>
                <w:szCs w:val="18"/>
              </w:rPr>
              <w:t>Tractors, Shovels and Light Loaders</w:t>
            </w:r>
          </w:p>
        </w:tc>
        <w:tc>
          <w:tcPr>
            <w:tcW w:w="759" w:type="pct"/>
          </w:tcPr>
          <w:p w14:paraId="08BA9AAC" w14:textId="0D4F28A7" w:rsidR="00CC29D4" w:rsidRDefault="00877476" w:rsidP="00561F0E">
            <w:pPr>
              <w:jc w:val="center"/>
              <w:rPr>
                <w:rFonts w:asciiTheme="minorHAnsi" w:hAnsiTheme="minorHAnsi" w:cs="Arial"/>
                <w:szCs w:val="18"/>
              </w:rPr>
            </w:pPr>
            <w:r>
              <w:rPr>
                <w:rFonts w:asciiTheme="minorHAnsi" w:hAnsiTheme="minorHAnsi" w:cs="Arial"/>
                <w:szCs w:val="18"/>
              </w:rPr>
              <w:t>10</w:t>
            </w:r>
          </w:p>
        </w:tc>
      </w:tr>
      <w:tr w:rsidR="00CC29D4" w:rsidRPr="002D7C7B" w14:paraId="5D2D5ACA" w14:textId="77777777" w:rsidTr="00CC29D4">
        <w:trPr>
          <w:jc w:val="center"/>
        </w:trPr>
        <w:tc>
          <w:tcPr>
            <w:tcW w:w="573" w:type="pct"/>
            <w:shd w:val="clear" w:color="auto" w:fill="auto"/>
          </w:tcPr>
          <w:p w14:paraId="7083A9D8" w14:textId="526E98A9" w:rsidR="00CC29D4" w:rsidRPr="009A33E7" w:rsidRDefault="00877476" w:rsidP="00877476">
            <w:pPr>
              <w:spacing w:after="0"/>
              <w:jc w:val="center"/>
              <w:rPr>
                <w:rFonts w:asciiTheme="minorHAnsi" w:hAnsiTheme="minorHAnsi" w:cs="Arial"/>
                <w:szCs w:val="18"/>
              </w:rPr>
            </w:pPr>
            <w:r>
              <w:rPr>
                <w:rFonts w:asciiTheme="minorHAnsi" w:hAnsiTheme="minorHAnsi" w:cs="Arial"/>
                <w:szCs w:val="18"/>
              </w:rPr>
              <w:t>25</w:t>
            </w:r>
          </w:p>
        </w:tc>
        <w:tc>
          <w:tcPr>
            <w:tcW w:w="3668" w:type="pct"/>
            <w:shd w:val="clear" w:color="auto" w:fill="auto"/>
            <w:vAlign w:val="center"/>
          </w:tcPr>
          <w:p w14:paraId="5C011219" w14:textId="0B7AD2D7" w:rsidR="00CC29D4" w:rsidRPr="009A33E7" w:rsidRDefault="005C7273" w:rsidP="00877476">
            <w:pPr>
              <w:rPr>
                <w:rFonts w:asciiTheme="minorHAnsi" w:hAnsiTheme="minorHAnsi" w:cs="Arial"/>
                <w:szCs w:val="18"/>
              </w:rPr>
            </w:pPr>
            <w:r w:rsidRPr="005C7273">
              <w:rPr>
                <w:rFonts w:asciiTheme="minorHAnsi" w:hAnsiTheme="minorHAnsi" w:cs="Arial"/>
                <w:szCs w:val="18"/>
              </w:rPr>
              <w:t>Miscellaneous including Light Plant, Heavy Plant, Ride-Ons, Motorcycles, Trailers and De-mountable Gritters</w:t>
            </w:r>
          </w:p>
        </w:tc>
        <w:tc>
          <w:tcPr>
            <w:tcW w:w="759" w:type="pct"/>
          </w:tcPr>
          <w:p w14:paraId="30202B64" w14:textId="66090F6E" w:rsidR="00CC29D4" w:rsidRPr="009A33E7" w:rsidRDefault="00877476" w:rsidP="00561F0E">
            <w:pPr>
              <w:jc w:val="center"/>
              <w:rPr>
                <w:rFonts w:asciiTheme="minorHAnsi" w:hAnsiTheme="minorHAnsi" w:cs="Arial"/>
                <w:szCs w:val="18"/>
              </w:rPr>
            </w:pPr>
            <w:r>
              <w:rPr>
                <w:rFonts w:asciiTheme="minorHAnsi" w:hAnsiTheme="minorHAnsi" w:cs="Arial"/>
                <w:szCs w:val="18"/>
              </w:rPr>
              <w:t>101</w:t>
            </w:r>
          </w:p>
        </w:tc>
      </w:tr>
      <w:tr w:rsidR="00877476" w:rsidRPr="002D7C7B" w14:paraId="48C54A00" w14:textId="77777777" w:rsidTr="00877476">
        <w:trPr>
          <w:jc w:val="center"/>
        </w:trPr>
        <w:tc>
          <w:tcPr>
            <w:tcW w:w="4241" w:type="pct"/>
            <w:gridSpan w:val="2"/>
            <w:shd w:val="clear" w:color="auto" w:fill="D9D9D9"/>
          </w:tcPr>
          <w:p w14:paraId="041B02C0" w14:textId="53603514" w:rsidR="00877476" w:rsidRPr="00C42924" w:rsidRDefault="00877476" w:rsidP="00877476">
            <w:pPr>
              <w:jc w:val="right"/>
              <w:rPr>
                <w:rFonts w:asciiTheme="minorHAnsi" w:hAnsiTheme="minorHAnsi" w:cs="Arial"/>
                <w:b/>
                <w:bCs/>
                <w:szCs w:val="18"/>
              </w:rPr>
            </w:pPr>
            <w:r>
              <w:rPr>
                <w:rFonts w:asciiTheme="minorHAnsi" w:hAnsiTheme="minorHAnsi" w:cs="Arial"/>
                <w:b/>
                <w:bCs/>
                <w:szCs w:val="18"/>
              </w:rPr>
              <w:t>Total Number of Assets</w:t>
            </w:r>
          </w:p>
        </w:tc>
        <w:tc>
          <w:tcPr>
            <w:tcW w:w="759" w:type="pct"/>
            <w:shd w:val="clear" w:color="auto" w:fill="D9D9D9"/>
          </w:tcPr>
          <w:p w14:paraId="1B453314" w14:textId="419EBB26" w:rsidR="00877476" w:rsidRPr="009A33E7" w:rsidRDefault="00877476" w:rsidP="00561F0E">
            <w:pPr>
              <w:jc w:val="center"/>
              <w:rPr>
                <w:rFonts w:asciiTheme="minorHAnsi" w:hAnsiTheme="minorHAnsi" w:cs="Arial"/>
                <w:b/>
                <w:szCs w:val="18"/>
              </w:rPr>
            </w:pPr>
            <w:r>
              <w:rPr>
                <w:rFonts w:asciiTheme="minorHAnsi" w:hAnsiTheme="minorHAnsi" w:cs="Arial"/>
                <w:b/>
                <w:szCs w:val="18"/>
              </w:rPr>
              <w:fldChar w:fldCharType="begin"/>
            </w:r>
            <w:r>
              <w:rPr>
                <w:rFonts w:asciiTheme="minorHAnsi" w:hAnsiTheme="minorHAnsi" w:cs="Arial"/>
                <w:b/>
                <w:szCs w:val="18"/>
              </w:rPr>
              <w:instrText xml:space="preserve"> =SUM(ABOVE) </w:instrText>
            </w:r>
            <w:r>
              <w:rPr>
                <w:rFonts w:asciiTheme="minorHAnsi" w:hAnsiTheme="minorHAnsi" w:cs="Arial"/>
                <w:b/>
                <w:szCs w:val="18"/>
              </w:rPr>
              <w:fldChar w:fldCharType="separate"/>
            </w:r>
            <w:r>
              <w:rPr>
                <w:rFonts w:asciiTheme="minorHAnsi" w:hAnsiTheme="minorHAnsi" w:cs="Arial"/>
                <w:b/>
                <w:noProof/>
                <w:szCs w:val="18"/>
              </w:rPr>
              <w:t>263</w:t>
            </w:r>
            <w:r>
              <w:rPr>
                <w:rFonts w:asciiTheme="minorHAnsi" w:hAnsiTheme="minorHAnsi" w:cs="Arial"/>
                <w:b/>
                <w:szCs w:val="18"/>
              </w:rPr>
              <w:fldChar w:fldCharType="end"/>
            </w:r>
          </w:p>
        </w:tc>
      </w:tr>
    </w:tbl>
    <w:p w14:paraId="4BFB6054" w14:textId="53B4C3A1" w:rsidR="00CC29D4" w:rsidRDefault="00CC29D4">
      <w:pPr>
        <w:spacing w:after="200" w:line="276" w:lineRule="auto"/>
        <w:rPr>
          <w:rFonts w:eastAsiaTheme="majorEastAsia" w:cstheme="majorBidi"/>
          <w:b/>
          <w:bCs/>
        </w:rPr>
      </w:pPr>
      <w:r>
        <w:rPr>
          <w:rFonts w:eastAsiaTheme="majorEastAsia" w:cstheme="majorBidi"/>
          <w:b/>
          <w:bCs/>
        </w:rPr>
        <w:br w:type="page"/>
      </w:r>
    </w:p>
    <w:p w14:paraId="628BCAD5" w14:textId="69826F79" w:rsidR="005C044E" w:rsidRDefault="005C044E" w:rsidP="005C044E">
      <w:pPr>
        <w:spacing w:after="200" w:line="276" w:lineRule="auto"/>
        <w:rPr>
          <w:rFonts w:eastAsiaTheme="majorEastAsia" w:cstheme="majorBidi"/>
          <w:b/>
          <w:bCs/>
        </w:rPr>
      </w:pPr>
      <w:r>
        <w:rPr>
          <w:rFonts w:eastAsiaTheme="majorEastAsia" w:cstheme="majorBidi"/>
          <w:b/>
          <w:bCs/>
        </w:rPr>
        <w:lastRenderedPageBreak/>
        <w:t xml:space="preserve">ICT ASSET SUMMARY </w:t>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t>Appendix 1.5</w:t>
      </w:r>
    </w:p>
    <w:tbl>
      <w:tblPr>
        <w:tblpPr w:leftFromText="180" w:rightFromText="180" w:vertAnchor="page" w:horzAnchor="margin" w:tblpXSpec="center" w:tblpY="3316"/>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1561"/>
        <w:gridCol w:w="1559"/>
        <w:gridCol w:w="1559"/>
        <w:gridCol w:w="1417"/>
        <w:gridCol w:w="1496"/>
      </w:tblGrid>
      <w:tr w:rsidR="00B85069" w:rsidRPr="002D7C7B" w14:paraId="07AE66CE" w14:textId="1953EA9E" w:rsidTr="00F67BA2">
        <w:trPr>
          <w:jc w:val="center"/>
        </w:trPr>
        <w:tc>
          <w:tcPr>
            <w:tcW w:w="1148" w:type="pct"/>
            <w:shd w:val="clear" w:color="auto" w:fill="E1E1FF"/>
          </w:tcPr>
          <w:p w14:paraId="27F1462A" w14:textId="4016EDE0" w:rsidR="00B85069" w:rsidRPr="009A33E7" w:rsidRDefault="00B85069" w:rsidP="00B85069">
            <w:pPr>
              <w:rPr>
                <w:rFonts w:asciiTheme="minorHAnsi" w:hAnsiTheme="minorHAnsi" w:cs="Arial"/>
                <w:b/>
                <w:szCs w:val="18"/>
              </w:rPr>
            </w:pPr>
            <w:r w:rsidRPr="009A33E7">
              <w:rPr>
                <w:rFonts w:asciiTheme="minorHAnsi" w:hAnsiTheme="minorHAnsi" w:cs="Arial"/>
                <w:b/>
                <w:szCs w:val="18"/>
              </w:rPr>
              <w:t>Service</w:t>
            </w:r>
            <w:r>
              <w:rPr>
                <w:rFonts w:asciiTheme="minorHAnsi" w:hAnsiTheme="minorHAnsi" w:cs="Arial"/>
                <w:b/>
                <w:szCs w:val="18"/>
              </w:rPr>
              <w:t xml:space="preserve"> Area</w:t>
            </w:r>
          </w:p>
        </w:tc>
        <w:tc>
          <w:tcPr>
            <w:tcW w:w="792" w:type="pct"/>
            <w:shd w:val="clear" w:color="auto" w:fill="E1E1FF"/>
          </w:tcPr>
          <w:p w14:paraId="6E1D8B9A" w14:textId="5F65CE89" w:rsidR="00B85069" w:rsidRPr="009A33E7" w:rsidRDefault="00B85069" w:rsidP="00B85069">
            <w:pPr>
              <w:jc w:val="center"/>
              <w:rPr>
                <w:rFonts w:asciiTheme="minorHAnsi" w:hAnsiTheme="minorHAnsi" w:cs="Arial"/>
                <w:b/>
                <w:szCs w:val="18"/>
              </w:rPr>
            </w:pPr>
            <w:r>
              <w:rPr>
                <w:rFonts w:asciiTheme="minorHAnsi" w:hAnsiTheme="minorHAnsi" w:cs="Arial"/>
                <w:b/>
                <w:szCs w:val="18"/>
              </w:rPr>
              <w:t>Desktop PC’s</w:t>
            </w:r>
          </w:p>
        </w:tc>
        <w:tc>
          <w:tcPr>
            <w:tcW w:w="791" w:type="pct"/>
            <w:shd w:val="clear" w:color="auto" w:fill="E1E1FF"/>
          </w:tcPr>
          <w:p w14:paraId="7E8184AF" w14:textId="5961C0F1" w:rsidR="00B85069" w:rsidRPr="009A33E7" w:rsidRDefault="00B85069" w:rsidP="00B85069">
            <w:pPr>
              <w:jc w:val="center"/>
              <w:rPr>
                <w:rFonts w:asciiTheme="minorHAnsi" w:hAnsiTheme="minorHAnsi" w:cs="Arial"/>
                <w:b/>
                <w:szCs w:val="18"/>
              </w:rPr>
            </w:pPr>
            <w:r w:rsidRPr="009A33E7">
              <w:rPr>
                <w:rFonts w:asciiTheme="minorHAnsi" w:hAnsiTheme="minorHAnsi" w:cs="Arial"/>
                <w:b/>
                <w:szCs w:val="18"/>
              </w:rPr>
              <w:t>N</w:t>
            </w:r>
            <w:r>
              <w:rPr>
                <w:rFonts w:asciiTheme="minorHAnsi" w:hAnsiTheme="minorHAnsi" w:cs="Arial"/>
                <w:b/>
                <w:szCs w:val="18"/>
              </w:rPr>
              <w:t>otebook PC’s</w:t>
            </w:r>
          </w:p>
        </w:tc>
        <w:tc>
          <w:tcPr>
            <w:tcW w:w="791" w:type="pct"/>
            <w:shd w:val="clear" w:color="auto" w:fill="E1E1FF"/>
          </w:tcPr>
          <w:p w14:paraId="377E0EA1" w14:textId="009DACAD" w:rsidR="00B85069" w:rsidRPr="009A33E7" w:rsidRDefault="00B85069" w:rsidP="00B85069">
            <w:pPr>
              <w:jc w:val="center"/>
              <w:rPr>
                <w:rFonts w:asciiTheme="minorHAnsi" w:hAnsiTheme="minorHAnsi" w:cs="Arial"/>
                <w:b/>
                <w:szCs w:val="18"/>
              </w:rPr>
            </w:pPr>
            <w:r>
              <w:rPr>
                <w:rFonts w:asciiTheme="minorHAnsi" w:hAnsiTheme="minorHAnsi" w:cs="Arial"/>
                <w:b/>
                <w:szCs w:val="18"/>
              </w:rPr>
              <w:t>Tablet PC’s</w:t>
            </w:r>
          </w:p>
        </w:tc>
        <w:tc>
          <w:tcPr>
            <w:tcW w:w="719" w:type="pct"/>
            <w:tcBorders>
              <w:right w:val="single" w:sz="12" w:space="0" w:color="auto"/>
            </w:tcBorders>
            <w:shd w:val="clear" w:color="auto" w:fill="E1E1FF"/>
          </w:tcPr>
          <w:p w14:paraId="7A0407DB" w14:textId="5D2CEADC" w:rsidR="00B85069" w:rsidRPr="009A33E7" w:rsidRDefault="00B85069" w:rsidP="00B85069">
            <w:pPr>
              <w:jc w:val="center"/>
              <w:rPr>
                <w:rFonts w:asciiTheme="minorHAnsi" w:hAnsiTheme="minorHAnsi" w:cs="Arial"/>
                <w:b/>
                <w:szCs w:val="18"/>
              </w:rPr>
            </w:pPr>
            <w:r>
              <w:rPr>
                <w:rFonts w:asciiTheme="minorHAnsi" w:hAnsiTheme="minorHAnsi" w:cs="Arial"/>
                <w:b/>
                <w:szCs w:val="18"/>
              </w:rPr>
              <w:t>Total PC’s</w:t>
            </w:r>
          </w:p>
        </w:tc>
        <w:tc>
          <w:tcPr>
            <w:tcW w:w="759" w:type="pct"/>
            <w:tcBorders>
              <w:left w:val="single" w:sz="12" w:space="0" w:color="auto"/>
            </w:tcBorders>
            <w:shd w:val="clear" w:color="auto" w:fill="E1E1FF"/>
          </w:tcPr>
          <w:p w14:paraId="435C693E" w14:textId="1DF8DF3A" w:rsidR="00B85069" w:rsidRPr="009A33E7" w:rsidRDefault="00B85069" w:rsidP="00B85069">
            <w:pPr>
              <w:jc w:val="center"/>
              <w:rPr>
                <w:rFonts w:asciiTheme="minorHAnsi" w:hAnsiTheme="minorHAnsi" w:cs="Arial"/>
                <w:b/>
                <w:szCs w:val="18"/>
              </w:rPr>
            </w:pPr>
            <w:r>
              <w:rPr>
                <w:rFonts w:asciiTheme="minorHAnsi" w:hAnsiTheme="minorHAnsi" w:cs="Arial"/>
                <w:b/>
                <w:szCs w:val="18"/>
              </w:rPr>
              <w:t>Active Panels</w:t>
            </w:r>
          </w:p>
        </w:tc>
      </w:tr>
      <w:tr w:rsidR="00B85069" w:rsidRPr="002D7C7B" w14:paraId="55047728" w14:textId="4B3E520E" w:rsidTr="00F67BA2">
        <w:trPr>
          <w:jc w:val="center"/>
        </w:trPr>
        <w:tc>
          <w:tcPr>
            <w:tcW w:w="1148" w:type="pct"/>
            <w:shd w:val="clear" w:color="auto" w:fill="auto"/>
          </w:tcPr>
          <w:p w14:paraId="75FEC878" w14:textId="4D0C7E38" w:rsidR="00B85069" w:rsidRPr="009A33E7" w:rsidRDefault="00B85069" w:rsidP="00C42924">
            <w:pPr>
              <w:spacing w:after="0"/>
              <w:rPr>
                <w:rFonts w:asciiTheme="minorHAnsi" w:hAnsiTheme="minorHAnsi" w:cs="Arial"/>
                <w:szCs w:val="18"/>
              </w:rPr>
            </w:pPr>
            <w:r>
              <w:rPr>
                <w:rFonts w:asciiTheme="minorHAnsi" w:hAnsiTheme="minorHAnsi" w:cs="Arial"/>
                <w:szCs w:val="18"/>
              </w:rPr>
              <w:t>Schools</w:t>
            </w:r>
          </w:p>
        </w:tc>
        <w:tc>
          <w:tcPr>
            <w:tcW w:w="792" w:type="pct"/>
            <w:shd w:val="clear" w:color="auto" w:fill="auto"/>
          </w:tcPr>
          <w:p w14:paraId="0198E685" w14:textId="4C84CC90" w:rsidR="00B85069" w:rsidRPr="009A33E7" w:rsidRDefault="00C42924" w:rsidP="00B85069">
            <w:pPr>
              <w:jc w:val="center"/>
              <w:rPr>
                <w:rFonts w:asciiTheme="minorHAnsi" w:hAnsiTheme="minorHAnsi" w:cs="Arial"/>
                <w:szCs w:val="18"/>
              </w:rPr>
            </w:pPr>
            <w:r>
              <w:rPr>
                <w:rFonts w:asciiTheme="minorHAnsi" w:hAnsiTheme="minorHAnsi" w:cs="Arial"/>
                <w:szCs w:val="18"/>
              </w:rPr>
              <w:t>1,972</w:t>
            </w:r>
          </w:p>
        </w:tc>
        <w:tc>
          <w:tcPr>
            <w:tcW w:w="791" w:type="pct"/>
            <w:shd w:val="clear" w:color="auto" w:fill="auto"/>
          </w:tcPr>
          <w:p w14:paraId="08340E0A" w14:textId="3BDA6E79" w:rsidR="00B85069" w:rsidRPr="009A33E7" w:rsidRDefault="00C42924" w:rsidP="00B85069">
            <w:pPr>
              <w:jc w:val="center"/>
              <w:rPr>
                <w:rFonts w:asciiTheme="minorHAnsi" w:hAnsiTheme="minorHAnsi" w:cs="Arial"/>
                <w:szCs w:val="18"/>
              </w:rPr>
            </w:pPr>
            <w:r>
              <w:rPr>
                <w:rFonts w:asciiTheme="minorHAnsi" w:hAnsiTheme="minorHAnsi" w:cs="Arial"/>
                <w:szCs w:val="18"/>
              </w:rPr>
              <w:t>2,458</w:t>
            </w:r>
          </w:p>
        </w:tc>
        <w:tc>
          <w:tcPr>
            <w:tcW w:w="791" w:type="pct"/>
            <w:shd w:val="clear" w:color="auto" w:fill="auto"/>
          </w:tcPr>
          <w:p w14:paraId="5B59D058" w14:textId="2CEE6C3B" w:rsidR="00B85069" w:rsidRPr="009A33E7" w:rsidRDefault="00C42924" w:rsidP="00B85069">
            <w:pPr>
              <w:jc w:val="center"/>
              <w:rPr>
                <w:rFonts w:asciiTheme="minorHAnsi" w:hAnsiTheme="minorHAnsi" w:cs="Arial"/>
                <w:szCs w:val="18"/>
              </w:rPr>
            </w:pPr>
            <w:r>
              <w:rPr>
                <w:rFonts w:asciiTheme="minorHAnsi" w:hAnsiTheme="minorHAnsi" w:cs="Arial"/>
                <w:szCs w:val="18"/>
              </w:rPr>
              <w:t>45</w:t>
            </w:r>
          </w:p>
        </w:tc>
        <w:tc>
          <w:tcPr>
            <w:tcW w:w="719" w:type="pct"/>
            <w:tcBorders>
              <w:right w:val="single" w:sz="12" w:space="0" w:color="auto"/>
            </w:tcBorders>
            <w:shd w:val="clear" w:color="auto" w:fill="auto"/>
          </w:tcPr>
          <w:p w14:paraId="0A4D5D64" w14:textId="571A42AE" w:rsidR="00B85069" w:rsidRPr="009A33E7" w:rsidRDefault="00C42924" w:rsidP="00B85069">
            <w:pPr>
              <w:jc w:val="center"/>
              <w:rPr>
                <w:rFonts w:asciiTheme="minorHAnsi" w:hAnsiTheme="minorHAnsi" w:cs="Arial"/>
                <w:szCs w:val="18"/>
              </w:rPr>
            </w:pPr>
            <w:r>
              <w:rPr>
                <w:rFonts w:asciiTheme="minorHAnsi" w:hAnsiTheme="minorHAnsi" w:cs="Arial"/>
                <w:szCs w:val="18"/>
              </w:rPr>
              <w:t>4,475</w:t>
            </w:r>
          </w:p>
        </w:tc>
        <w:tc>
          <w:tcPr>
            <w:tcW w:w="759" w:type="pct"/>
            <w:tcBorders>
              <w:left w:val="single" w:sz="12" w:space="0" w:color="auto"/>
            </w:tcBorders>
          </w:tcPr>
          <w:p w14:paraId="30DEB775" w14:textId="69E375A6" w:rsidR="00B85069" w:rsidRPr="009A33E7" w:rsidRDefault="00C42924" w:rsidP="00B85069">
            <w:pPr>
              <w:jc w:val="center"/>
              <w:rPr>
                <w:rFonts w:asciiTheme="minorHAnsi" w:hAnsiTheme="minorHAnsi" w:cs="Arial"/>
                <w:szCs w:val="18"/>
              </w:rPr>
            </w:pPr>
            <w:r>
              <w:rPr>
                <w:rFonts w:asciiTheme="minorHAnsi" w:hAnsiTheme="minorHAnsi" w:cs="Arial"/>
                <w:szCs w:val="18"/>
              </w:rPr>
              <w:t>659</w:t>
            </w:r>
          </w:p>
        </w:tc>
      </w:tr>
      <w:tr w:rsidR="00B85069" w:rsidRPr="002D7C7B" w14:paraId="66C240C9" w14:textId="6B30CB35" w:rsidTr="00F67BA2">
        <w:trPr>
          <w:jc w:val="center"/>
        </w:trPr>
        <w:tc>
          <w:tcPr>
            <w:tcW w:w="1148" w:type="pct"/>
            <w:shd w:val="clear" w:color="auto" w:fill="auto"/>
          </w:tcPr>
          <w:p w14:paraId="72AA90D5" w14:textId="31E53C85" w:rsidR="00B85069" w:rsidRPr="009A33E7" w:rsidRDefault="00B85069" w:rsidP="00C42924">
            <w:pPr>
              <w:spacing w:after="0"/>
              <w:rPr>
                <w:rFonts w:asciiTheme="minorHAnsi" w:hAnsiTheme="minorHAnsi" w:cs="Arial"/>
                <w:szCs w:val="18"/>
              </w:rPr>
            </w:pPr>
            <w:r>
              <w:rPr>
                <w:rFonts w:asciiTheme="minorHAnsi" w:hAnsiTheme="minorHAnsi" w:cs="Arial"/>
                <w:szCs w:val="18"/>
              </w:rPr>
              <w:t>Corporate</w:t>
            </w:r>
          </w:p>
        </w:tc>
        <w:tc>
          <w:tcPr>
            <w:tcW w:w="792" w:type="pct"/>
            <w:shd w:val="clear" w:color="auto" w:fill="auto"/>
            <w:vAlign w:val="center"/>
          </w:tcPr>
          <w:p w14:paraId="08B71EB5" w14:textId="00559AE1" w:rsidR="00B85069" w:rsidRPr="009A33E7" w:rsidRDefault="00C42924" w:rsidP="00B85069">
            <w:pPr>
              <w:jc w:val="center"/>
              <w:rPr>
                <w:rFonts w:asciiTheme="minorHAnsi" w:hAnsiTheme="minorHAnsi" w:cs="Arial"/>
                <w:szCs w:val="18"/>
              </w:rPr>
            </w:pPr>
            <w:r>
              <w:rPr>
                <w:rFonts w:asciiTheme="minorHAnsi" w:hAnsiTheme="minorHAnsi" w:cs="Arial"/>
                <w:szCs w:val="18"/>
              </w:rPr>
              <w:t>256</w:t>
            </w:r>
          </w:p>
        </w:tc>
        <w:tc>
          <w:tcPr>
            <w:tcW w:w="791" w:type="pct"/>
            <w:shd w:val="clear" w:color="auto" w:fill="auto"/>
          </w:tcPr>
          <w:p w14:paraId="4EB767FD" w14:textId="3CB7AFF7" w:rsidR="00B85069" w:rsidRPr="009A33E7" w:rsidRDefault="00C42924" w:rsidP="00B85069">
            <w:pPr>
              <w:jc w:val="center"/>
              <w:rPr>
                <w:rFonts w:asciiTheme="minorHAnsi" w:hAnsiTheme="minorHAnsi" w:cs="Arial"/>
                <w:szCs w:val="18"/>
              </w:rPr>
            </w:pPr>
            <w:r>
              <w:rPr>
                <w:rFonts w:asciiTheme="minorHAnsi" w:hAnsiTheme="minorHAnsi" w:cs="Arial"/>
                <w:szCs w:val="18"/>
              </w:rPr>
              <w:t>1,442</w:t>
            </w:r>
          </w:p>
        </w:tc>
        <w:tc>
          <w:tcPr>
            <w:tcW w:w="791" w:type="pct"/>
            <w:shd w:val="clear" w:color="auto" w:fill="auto"/>
          </w:tcPr>
          <w:p w14:paraId="1729644D" w14:textId="11D911F2" w:rsidR="00B85069" w:rsidRPr="009A33E7" w:rsidRDefault="00C42924" w:rsidP="00B85069">
            <w:pPr>
              <w:jc w:val="center"/>
              <w:rPr>
                <w:rFonts w:asciiTheme="minorHAnsi" w:hAnsiTheme="minorHAnsi" w:cs="Arial"/>
                <w:szCs w:val="18"/>
              </w:rPr>
            </w:pPr>
            <w:r>
              <w:rPr>
                <w:rFonts w:asciiTheme="minorHAnsi" w:hAnsiTheme="minorHAnsi" w:cs="Arial"/>
                <w:szCs w:val="18"/>
              </w:rPr>
              <w:t>46</w:t>
            </w:r>
          </w:p>
        </w:tc>
        <w:tc>
          <w:tcPr>
            <w:tcW w:w="719" w:type="pct"/>
            <w:tcBorders>
              <w:right w:val="single" w:sz="12" w:space="0" w:color="auto"/>
            </w:tcBorders>
            <w:shd w:val="clear" w:color="auto" w:fill="auto"/>
          </w:tcPr>
          <w:p w14:paraId="6550C5D4" w14:textId="1FCAF317" w:rsidR="00B85069" w:rsidRPr="009A33E7" w:rsidRDefault="00C42924" w:rsidP="00B85069">
            <w:pPr>
              <w:jc w:val="center"/>
              <w:rPr>
                <w:rFonts w:asciiTheme="minorHAnsi" w:hAnsiTheme="minorHAnsi" w:cs="Arial"/>
                <w:szCs w:val="18"/>
              </w:rPr>
            </w:pPr>
            <w:r>
              <w:rPr>
                <w:rFonts w:asciiTheme="minorHAnsi" w:hAnsiTheme="minorHAnsi" w:cs="Arial"/>
                <w:szCs w:val="18"/>
              </w:rPr>
              <w:t>1,744</w:t>
            </w:r>
          </w:p>
        </w:tc>
        <w:tc>
          <w:tcPr>
            <w:tcW w:w="759" w:type="pct"/>
            <w:tcBorders>
              <w:left w:val="single" w:sz="12" w:space="0" w:color="auto"/>
            </w:tcBorders>
          </w:tcPr>
          <w:p w14:paraId="49F0A9F0" w14:textId="6CEFE274" w:rsidR="00B85069" w:rsidRPr="009A33E7" w:rsidRDefault="00C42924" w:rsidP="00B85069">
            <w:pPr>
              <w:jc w:val="center"/>
              <w:rPr>
                <w:rFonts w:asciiTheme="minorHAnsi" w:hAnsiTheme="minorHAnsi" w:cs="Arial"/>
                <w:szCs w:val="18"/>
              </w:rPr>
            </w:pPr>
            <w:r>
              <w:rPr>
                <w:rFonts w:asciiTheme="minorHAnsi" w:hAnsiTheme="minorHAnsi" w:cs="Arial"/>
                <w:szCs w:val="18"/>
              </w:rPr>
              <w:t>12</w:t>
            </w:r>
          </w:p>
        </w:tc>
      </w:tr>
      <w:tr w:rsidR="00B85069" w:rsidRPr="002D7C7B" w14:paraId="01FF5797" w14:textId="30B4356E" w:rsidTr="00F67BA2">
        <w:trPr>
          <w:jc w:val="center"/>
        </w:trPr>
        <w:tc>
          <w:tcPr>
            <w:tcW w:w="1148" w:type="pct"/>
            <w:shd w:val="clear" w:color="auto" w:fill="D9D9D9"/>
          </w:tcPr>
          <w:p w14:paraId="2668279C" w14:textId="1CA3AAA6" w:rsidR="00B85069" w:rsidRPr="009A33E7" w:rsidRDefault="00B85069" w:rsidP="00C42924">
            <w:pPr>
              <w:spacing w:after="0"/>
              <w:rPr>
                <w:rFonts w:asciiTheme="minorHAnsi" w:hAnsiTheme="minorHAnsi" w:cs="Arial"/>
                <w:szCs w:val="18"/>
              </w:rPr>
            </w:pPr>
            <w:r w:rsidRPr="009A33E7">
              <w:rPr>
                <w:rFonts w:asciiTheme="minorHAnsi" w:hAnsiTheme="minorHAnsi" w:cs="Arial"/>
                <w:b/>
                <w:szCs w:val="18"/>
              </w:rPr>
              <w:t>Totals</w:t>
            </w:r>
          </w:p>
        </w:tc>
        <w:tc>
          <w:tcPr>
            <w:tcW w:w="792" w:type="pct"/>
            <w:shd w:val="clear" w:color="auto" w:fill="D9D9D9"/>
            <w:vAlign w:val="center"/>
          </w:tcPr>
          <w:p w14:paraId="78F957FD" w14:textId="02AE0A7B" w:rsidR="00B85069" w:rsidRPr="00C42924" w:rsidRDefault="00C42924" w:rsidP="00B85069">
            <w:pPr>
              <w:jc w:val="center"/>
              <w:rPr>
                <w:rFonts w:asciiTheme="minorHAnsi" w:hAnsiTheme="minorHAnsi" w:cs="Arial"/>
                <w:b/>
                <w:bCs/>
                <w:szCs w:val="18"/>
              </w:rPr>
            </w:pPr>
            <w:r w:rsidRPr="00C42924">
              <w:rPr>
                <w:rFonts w:asciiTheme="minorHAnsi" w:hAnsiTheme="minorHAnsi" w:cs="Arial"/>
                <w:b/>
                <w:bCs/>
                <w:szCs w:val="18"/>
              </w:rPr>
              <w:t>2,228</w:t>
            </w:r>
          </w:p>
        </w:tc>
        <w:tc>
          <w:tcPr>
            <w:tcW w:w="791" w:type="pct"/>
            <w:shd w:val="clear" w:color="auto" w:fill="D9D9D9"/>
          </w:tcPr>
          <w:p w14:paraId="050D3E22" w14:textId="267A24F5" w:rsidR="00B85069" w:rsidRPr="009A33E7" w:rsidRDefault="00B85069" w:rsidP="00C42924">
            <w:pPr>
              <w:jc w:val="center"/>
              <w:rPr>
                <w:rFonts w:asciiTheme="minorHAnsi" w:hAnsiTheme="minorHAnsi" w:cs="Arial"/>
                <w:szCs w:val="18"/>
              </w:rPr>
            </w:pPr>
            <w:r w:rsidRPr="009A33E7">
              <w:rPr>
                <w:rFonts w:asciiTheme="minorHAnsi" w:hAnsiTheme="minorHAnsi" w:cs="Arial"/>
                <w:b/>
                <w:szCs w:val="18"/>
              </w:rPr>
              <w:t>3</w:t>
            </w:r>
            <w:r w:rsidR="00C42924">
              <w:rPr>
                <w:rFonts w:asciiTheme="minorHAnsi" w:hAnsiTheme="minorHAnsi" w:cs="Arial"/>
                <w:b/>
                <w:szCs w:val="18"/>
              </w:rPr>
              <w:t>,900</w:t>
            </w:r>
          </w:p>
        </w:tc>
        <w:tc>
          <w:tcPr>
            <w:tcW w:w="791" w:type="pct"/>
            <w:shd w:val="clear" w:color="auto" w:fill="D9D9D9"/>
          </w:tcPr>
          <w:p w14:paraId="12420299" w14:textId="649CBE31" w:rsidR="00B85069" w:rsidRPr="009A33E7" w:rsidRDefault="00C42924" w:rsidP="00C42924">
            <w:pPr>
              <w:jc w:val="center"/>
              <w:rPr>
                <w:rFonts w:asciiTheme="minorHAnsi" w:hAnsiTheme="minorHAnsi" w:cs="Arial"/>
                <w:szCs w:val="18"/>
              </w:rPr>
            </w:pPr>
            <w:r>
              <w:rPr>
                <w:rFonts w:asciiTheme="minorHAnsi" w:hAnsiTheme="minorHAnsi" w:cs="Arial"/>
                <w:b/>
                <w:szCs w:val="18"/>
              </w:rPr>
              <w:t>91</w:t>
            </w:r>
          </w:p>
        </w:tc>
        <w:tc>
          <w:tcPr>
            <w:tcW w:w="719" w:type="pct"/>
            <w:tcBorders>
              <w:right w:val="single" w:sz="12" w:space="0" w:color="auto"/>
            </w:tcBorders>
            <w:shd w:val="clear" w:color="auto" w:fill="D9D9D9"/>
          </w:tcPr>
          <w:p w14:paraId="54029447" w14:textId="5BE92F7B" w:rsidR="00B85069" w:rsidRPr="00C42924" w:rsidRDefault="00C42924" w:rsidP="00C42924">
            <w:pPr>
              <w:jc w:val="center"/>
              <w:rPr>
                <w:rFonts w:asciiTheme="minorHAnsi" w:hAnsiTheme="minorHAnsi" w:cs="Arial"/>
                <w:b/>
                <w:bCs/>
                <w:szCs w:val="18"/>
              </w:rPr>
            </w:pPr>
            <w:r w:rsidRPr="00C42924">
              <w:rPr>
                <w:rFonts w:asciiTheme="minorHAnsi" w:hAnsiTheme="minorHAnsi" w:cs="Arial"/>
                <w:b/>
                <w:bCs/>
                <w:szCs w:val="18"/>
              </w:rPr>
              <w:t>6,219</w:t>
            </w:r>
          </w:p>
        </w:tc>
        <w:tc>
          <w:tcPr>
            <w:tcW w:w="759" w:type="pct"/>
            <w:tcBorders>
              <w:left w:val="single" w:sz="12" w:space="0" w:color="auto"/>
            </w:tcBorders>
            <w:shd w:val="clear" w:color="auto" w:fill="D9D9D9"/>
          </w:tcPr>
          <w:p w14:paraId="0C727D41" w14:textId="30087B6E" w:rsidR="00B85069" w:rsidRPr="009A33E7" w:rsidRDefault="00C42924" w:rsidP="00C42924">
            <w:pPr>
              <w:jc w:val="center"/>
              <w:rPr>
                <w:rFonts w:asciiTheme="minorHAnsi" w:hAnsiTheme="minorHAnsi" w:cs="Arial"/>
                <w:b/>
                <w:szCs w:val="18"/>
              </w:rPr>
            </w:pPr>
            <w:r>
              <w:rPr>
                <w:rFonts w:asciiTheme="minorHAnsi" w:hAnsiTheme="minorHAnsi" w:cs="Arial"/>
                <w:b/>
                <w:szCs w:val="18"/>
              </w:rPr>
              <w:t>671</w:t>
            </w:r>
          </w:p>
        </w:tc>
      </w:tr>
    </w:tbl>
    <w:p w14:paraId="796301F8" w14:textId="77777777" w:rsidR="005C044E" w:rsidRDefault="005C044E" w:rsidP="005C044E">
      <w:pPr>
        <w:spacing w:after="200" w:line="276" w:lineRule="auto"/>
        <w:rPr>
          <w:rFonts w:eastAsiaTheme="majorEastAsia" w:cstheme="majorBidi"/>
          <w:b/>
          <w:bCs/>
        </w:rPr>
      </w:pPr>
    </w:p>
    <w:p w14:paraId="3DE7B7FF" w14:textId="664F7B75" w:rsidR="00146E96" w:rsidRDefault="005C044E">
      <w:pPr>
        <w:spacing w:after="200" w:line="276" w:lineRule="auto"/>
        <w:rPr>
          <w:rFonts w:eastAsiaTheme="majorEastAsia" w:cstheme="majorBidi"/>
          <w:b/>
          <w:bCs/>
        </w:rPr>
      </w:pPr>
      <w:r>
        <w:rPr>
          <w:rFonts w:eastAsiaTheme="majorEastAsia" w:cstheme="majorBidi"/>
          <w:b/>
          <w:bCs/>
        </w:rPr>
        <w:br w:type="page"/>
      </w:r>
    </w:p>
    <w:bookmarkEnd w:id="56"/>
    <w:p w14:paraId="62911531" w14:textId="55DD025E" w:rsidR="00146E96" w:rsidRDefault="0052458A">
      <w:pPr>
        <w:spacing w:after="200" w:line="276" w:lineRule="auto"/>
        <w:rPr>
          <w:rFonts w:eastAsiaTheme="majorEastAsia" w:cstheme="majorBidi"/>
          <w:b/>
          <w:bCs/>
        </w:rPr>
      </w:pPr>
      <w:r>
        <w:rPr>
          <w:rFonts w:eastAsiaTheme="majorEastAsia" w:cstheme="majorBidi"/>
          <w:b/>
          <w:bCs/>
        </w:rPr>
        <w:lastRenderedPageBreak/>
        <w:t xml:space="preserve">ACTION PLAN </w:t>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Pr>
          <w:rFonts w:eastAsiaTheme="majorEastAsia" w:cstheme="majorBidi"/>
          <w:b/>
          <w:bCs/>
        </w:rPr>
        <w:tab/>
      </w:r>
      <w:r w:rsidR="00146E96">
        <w:rPr>
          <w:rFonts w:eastAsiaTheme="majorEastAsia" w:cstheme="majorBidi"/>
          <w:b/>
          <w:bCs/>
        </w:rPr>
        <w:t>Appendix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1" w:type="dxa"/>
          <w:right w:w="181" w:type="dxa"/>
        </w:tblCellMar>
        <w:tblLook w:val="04A0" w:firstRow="1" w:lastRow="0" w:firstColumn="1" w:lastColumn="0" w:noHBand="0" w:noVBand="1"/>
      </w:tblPr>
      <w:tblGrid>
        <w:gridCol w:w="1271"/>
        <w:gridCol w:w="1559"/>
        <w:gridCol w:w="3261"/>
        <w:gridCol w:w="1134"/>
        <w:gridCol w:w="1134"/>
        <w:gridCol w:w="1495"/>
      </w:tblGrid>
      <w:tr w:rsidR="00B742A1" w:rsidRPr="008141C5" w14:paraId="5D53D76C" w14:textId="77777777" w:rsidTr="005B5F1B">
        <w:tc>
          <w:tcPr>
            <w:tcW w:w="1271" w:type="dxa"/>
            <w:shd w:val="clear" w:color="auto" w:fill="D9D9D9"/>
          </w:tcPr>
          <w:p w14:paraId="60EDAC58" w14:textId="20CA01B2" w:rsidR="00F67BA2" w:rsidRPr="009A33E7" w:rsidRDefault="00F67BA2" w:rsidP="005B5F1B">
            <w:pPr>
              <w:pStyle w:val="Header"/>
              <w:rPr>
                <w:rFonts w:asciiTheme="minorHAnsi" w:hAnsiTheme="minorHAnsi" w:cs="Arial"/>
                <w:b/>
                <w:szCs w:val="18"/>
              </w:rPr>
            </w:pPr>
            <w:r>
              <w:rPr>
                <w:rFonts w:asciiTheme="minorHAnsi" w:hAnsiTheme="minorHAnsi" w:cs="Arial"/>
                <w:b/>
                <w:szCs w:val="18"/>
              </w:rPr>
              <w:t>Asset Category</w:t>
            </w:r>
          </w:p>
        </w:tc>
        <w:tc>
          <w:tcPr>
            <w:tcW w:w="1559" w:type="dxa"/>
            <w:shd w:val="clear" w:color="auto" w:fill="D9D9D9"/>
          </w:tcPr>
          <w:p w14:paraId="0589D2E3" w14:textId="453FFEC9" w:rsidR="00F67BA2" w:rsidRPr="009A33E7" w:rsidRDefault="00F67BA2" w:rsidP="00BC6367">
            <w:pPr>
              <w:pStyle w:val="Header"/>
              <w:rPr>
                <w:rFonts w:asciiTheme="minorHAnsi" w:hAnsiTheme="minorHAnsi" w:cs="Arial"/>
                <w:b/>
                <w:szCs w:val="18"/>
              </w:rPr>
            </w:pPr>
            <w:r>
              <w:rPr>
                <w:rFonts w:asciiTheme="minorHAnsi" w:hAnsiTheme="minorHAnsi" w:cs="Arial"/>
                <w:b/>
                <w:szCs w:val="18"/>
              </w:rPr>
              <w:t>Sub-category</w:t>
            </w:r>
          </w:p>
        </w:tc>
        <w:tc>
          <w:tcPr>
            <w:tcW w:w="3261" w:type="dxa"/>
            <w:shd w:val="clear" w:color="auto" w:fill="D9D9D9"/>
          </w:tcPr>
          <w:p w14:paraId="18F9A6DB" w14:textId="4158C4FC" w:rsidR="00F67BA2" w:rsidRPr="009A33E7" w:rsidRDefault="00F67BA2" w:rsidP="00BC6367">
            <w:pPr>
              <w:pStyle w:val="Header"/>
              <w:rPr>
                <w:rFonts w:asciiTheme="minorHAnsi" w:hAnsiTheme="minorHAnsi" w:cs="Arial"/>
                <w:b/>
                <w:szCs w:val="18"/>
              </w:rPr>
            </w:pPr>
            <w:r w:rsidRPr="009A33E7">
              <w:rPr>
                <w:rFonts w:asciiTheme="minorHAnsi" w:hAnsiTheme="minorHAnsi" w:cs="Arial"/>
                <w:b/>
                <w:szCs w:val="18"/>
              </w:rPr>
              <w:t>Action</w:t>
            </w:r>
          </w:p>
        </w:tc>
        <w:tc>
          <w:tcPr>
            <w:tcW w:w="1134" w:type="dxa"/>
            <w:shd w:val="clear" w:color="auto" w:fill="D9D9D9"/>
          </w:tcPr>
          <w:p w14:paraId="3C82CED7" w14:textId="7A743BD5" w:rsidR="00F67BA2" w:rsidRPr="009A33E7" w:rsidRDefault="00F67BA2" w:rsidP="00BC6367">
            <w:pPr>
              <w:pStyle w:val="Header"/>
              <w:jc w:val="center"/>
              <w:rPr>
                <w:rFonts w:asciiTheme="minorHAnsi" w:hAnsiTheme="minorHAnsi" w:cs="Arial"/>
                <w:b/>
                <w:szCs w:val="18"/>
              </w:rPr>
            </w:pPr>
            <w:r w:rsidRPr="009A33E7">
              <w:rPr>
                <w:rFonts w:asciiTheme="minorHAnsi" w:hAnsiTheme="minorHAnsi" w:cs="Arial"/>
                <w:b/>
                <w:szCs w:val="18"/>
              </w:rPr>
              <w:t xml:space="preserve">By </w:t>
            </w:r>
            <w:r w:rsidR="005B5F1B">
              <w:rPr>
                <w:rFonts w:asciiTheme="minorHAnsi" w:hAnsiTheme="minorHAnsi" w:cs="Arial"/>
                <w:b/>
                <w:szCs w:val="18"/>
              </w:rPr>
              <w:t>W</w:t>
            </w:r>
            <w:r w:rsidRPr="009A33E7">
              <w:rPr>
                <w:rFonts w:asciiTheme="minorHAnsi" w:hAnsiTheme="minorHAnsi" w:cs="Arial"/>
                <w:b/>
                <w:szCs w:val="18"/>
              </w:rPr>
              <w:t>hom</w:t>
            </w:r>
          </w:p>
        </w:tc>
        <w:tc>
          <w:tcPr>
            <w:tcW w:w="1134" w:type="dxa"/>
            <w:shd w:val="clear" w:color="auto" w:fill="D9D9D9"/>
          </w:tcPr>
          <w:p w14:paraId="0145D930" w14:textId="77777777" w:rsidR="00F67BA2" w:rsidRPr="009A33E7" w:rsidRDefault="00F67BA2" w:rsidP="00BC6367">
            <w:pPr>
              <w:pStyle w:val="Header"/>
              <w:jc w:val="center"/>
              <w:rPr>
                <w:rFonts w:asciiTheme="minorHAnsi" w:hAnsiTheme="minorHAnsi" w:cs="Arial"/>
                <w:b/>
                <w:szCs w:val="18"/>
              </w:rPr>
            </w:pPr>
            <w:r w:rsidRPr="009A33E7">
              <w:rPr>
                <w:rFonts w:asciiTheme="minorHAnsi" w:hAnsiTheme="minorHAnsi" w:cs="Arial"/>
                <w:b/>
                <w:szCs w:val="18"/>
              </w:rPr>
              <w:t>Date</w:t>
            </w:r>
          </w:p>
        </w:tc>
        <w:tc>
          <w:tcPr>
            <w:tcW w:w="1495" w:type="dxa"/>
            <w:shd w:val="clear" w:color="auto" w:fill="D9D9D9"/>
          </w:tcPr>
          <w:p w14:paraId="6FA9BA0F" w14:textId="04C333AE" w:rsidR="00F67BA2" w:rsidRPr="009A33E7" w:rsidRDefault="005B5F1B" w:rsidP="00B742A1">
            <w:pPr>
              <w:pStyle w:val="Header"/>
              <w:jc w:val="both"/>
              <w:rPr>
                <w:rFonts w:asciiTheme="minorHAnsi" w:hAnsiTheme="minorHAnsi" w:cs="Arial"/>
                <w:b/>
                <w:szCs w:val="18"/>
              </w:rPr>
            </w:pPr>
            <w:r>
              <w:rPr>
                <w:rFonts w:asciiTheme="minorHAnsi" w:hAnsiTheme="minorHAnsi" w:cs="Arial"/>
                <w:b/>
                <w:szCs w:val="18"/>
              </w:rPr>
              <w:t>Status</w:t>
            </w:r>
          </w:p>
        </w:tc>
      </w:tr>
      <w:tr w:rsidR="005B5F1B" w:rsidRPr="008141C5" w14:paraId="75DF3D09" w14:textId="77777777" w:rsidTr="005B5F1B">
        <w:tc>
          <w:tcPr>
            <w:tcW w:w="1271" w:type="dxa"/>
            <w:vMerge w:val="restart"/>
            <w:shd w:val="clear" w:color="auto" w:fill="auto"/>
          </w:tcPr>
          <w:p w14:paraId="747C26EB" w14:textId="3BED23B3" w:rsidR="005B5F1B" w:rsidRPr="009A33E7" w:rsidRDefault="005B5F1B" w:rsidP="005B5F1B">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Property</w:t>
            </w:r>
          </w:p>
        </w:tc>
        <w:tc>
          <w:tcPr>
            <w:tcW w:w="1559" w:type="dxa"/>
          </w:tcPr>
          <w:p w14:paraId="33FD506B" w14:textId="72019CF7" w:rsidR="005B5F1B" w:rsidRPr="009A33E7" w:rsidRDefault="005B5F1B" w:rsidP="00BC6367">
            <w:pPr>
              <w:autoSpaceDE w:val="0"/>
              <w:autoSpaceDN w:val="0"/>
              <w:adjustRightInd w:val="0"/>
              <w:rPr>
                <w:rFonts w:asciiTheme="minorHAnsi" w:hAnsiTheme="minorHAnsi" w:cs="Arial"/>
                <w:szCs w:val="18"/>
              </w:rPr>
            </w:pPr>
            <w:r>
              <w:rPr>
                <w:rFonts w:asciiTheme="minorHAnsi" w:hAnsiTheme="minorHAnsi" w:cs="Arial"/>
                <w:szCs w:val="18"/>
              </w:rPr>
              <w:t>All Operational Property</w:t>
            </w:r>
          </w:p>
        </w:tc>
        <w:tc>
          <w:tcPr>
            <w:tcW w:w="3261" w:type="dxa"/>
            <w:shd w:val="clear" w:color="auto" w:fill="auto"/>
          </w:tcPr>
          <w:p w14:paraId="59EDF9A9" w14:textId="39A34D4B" w:rsidR="005B5F1B" w:rsidRPr="009A33E7" w:rsidRDefault="005B5F1B" w:rsidP="00BC6367">
            <w:pPr>
              <w:autoSpaceDE w:val="0"/>
              <w:autoSpaceDN w:val="0"/>
              <w:adjustRightInd w:val="0"/>
              <w:rPr>
                <w:rFonts w:asciiTheme="minorHAnsi" w:hAnsiTheme="minorHAnsi" w:cs="Arial"/>
                <w:szCs w:val="18"/>
              </w:rPr>
            </w:pPr>
            <w:r w:rsidRPr="009A33E7">
              <w:rPr>
                <w:rFonts w:asciiTheme="minorHAnsi" w:hAnsiTheme="minorHAnsi" w:cs="Arial"/>
                <w:szCs w:val="18"/>
              </w:rPr>
              <w:t>Refresh of 5 yearly external condition surveys for all property assets</w:t>
            </w:r>
            <w:r>
              <w:rPr>
                <w:rFonts w:asciiTheme="minorHAnsi" w:hAnsiTheme="minorHAnsi" w:cs="Arial"/>
                <w:szCs w:val="18"/>
              </w:rPr>
              <w:t xml:space="preserve"> (subject to identification of budget)</w:t>
            </w:r>
          </w:p>
        </w:tc>
        <w:tc>
          <w:tcPr>
            <w:tcW w:w="1134" w:type="dxa"/>
            <w:shd w:val="clear" w:color="auto" w:fill="auto"/>
          </w:tcPr>
          <w:p w14:paraId="198F9EA4" w14:textId="1D7BFFE9"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w:t>
            </w:r>
          </w:p>
        </w:tc>
        <w:tc>
          <w:tcPr>
            <w:tcW w:w="1134" w:type="dxa"/>
            <w:shd w:val="clear" w:color="auto" w:fill="auto"/>
          </w:tcPr>
          <w:p w14:paraId="35C5AFAD" w14:textId="593FB7D6"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3</w:t>
            </w:r>
            <w:r w:rsidRPr="00B742A1">
              <w:rPr>
                <w:rFonts w:asciiTheme="minorHAnsi" w:hAnsiTheme="minorHAnsi" w:cs="Arial"/>
                <w:szCs w:val="18"/>
                <w:vertAlign w:val="superscript"/>
              </w:rPr>
              <w:t>rd</w:t>
            </w:r>
            <w:r>
              <w:rPr>
                <w:rFonts w:asciiTheme="minorHAnsi" w:hAnsiTheme="minorHAnsi" w:cs="Arial"/>
                <w:szCs w:val="18"/>
              </w:rPr>
              <w:t xml:space="preserve"> Quarter 2024</w:t>
            </w:r>
          </w:p>
        </w:tc>
        <w:tc>
          <w:tcPr>
            <w:tcW w:w="1495" w:type="dxa"/>
            <w:shd w:val="clear" w:color="auto" w:fill="auto"/>
          </w:tcPr>
          <w:p w14:paraId="7BF15F3A" w14:textId="508A8B3A" w:rsidR="005B5F1B" w:rsidRPr="009A33E7" w:rsidRDefault="005B5F1B" w:rsidP="00B742A1">
            <w:pPr>
              <w:pStyle w:val="Header"/>
              <w:jc w:val="both"/>
              <w:rPr>
                <w:rFonts w:asciiTheme="minorHAnsi" w:hAnsiTheme="minorHAnsi" w:cs="Arial"/>
                <w:szCs w:val="18"/>
              </w:rPr>
            </w:pPr>
            <w:r>
              <w:rPr>
                <w:rFonts w:asciiTheme="minorHAnsi" w:hAnsiTheme="minorHAnsi" w:cs="Arial"/>
                <w:szCs w:val="18"/>
              </w:rPr>
              <w:t>Planned</w:t>
            </w:r>
          </w:p>
        </w:tc>
      </w:tr>
      <w:tr w:rsidR="005B5F1B" w:rsidRPr="008141C5" w14:paraId="1AB48151" w14:textId="77777777" w:rsidTr="005B5F1B">
        <w:tc>
          <w:tcPr>
            <w:tcW w:w="1271" w:type="dxa"/>
            <w:vMerge/>
            <w:shd w:val="clear" w:color="auto" w:fill="auto"/>
          </w:tcPr>
          <w:p w14:paraId="74C1AD60" w14:textId="77777777" w:rsidR="005B5F1B" w:rsidRPr="009A33E7" w:rsidRDefault="005B5F1B" w:rsidP="00BC6367">
            <w:pPr>
              <w:autoSpaceDE w:val="0"/>
              <w:autoSpaceDN w:val="0"/>
              <w:adjustRightInd w:val="0"/>
              <w:jc w:val="center"/>
              <w:rPr>
                <w:rFonts w:asciiTheme="minorHAnsi" w:hAnsiTheme="minorHAnsi" w:cs="Arial"/>
                <w:szCs w:val="18"/>
                <w:lang w:eastAsia="en-GB"/>
              </w:rPr>
            </w:pPr>
          </w:p>
        </w:tc>
        <w:tc>
          <w:tcPr>
            <w:tcW w:w="1559" w:type="dxa"/>
          </w:tcPr>
          <w:p w14:paraId="45252D9E" w14:textId="39312CED" w:rsidR="005B5F1B"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Management</w:t>
            </w:r>
          </w:p>
        </w:tc>
        <w:tc>
          <w:tcPr>
            <w:tcW w:w="3261" w:type="dxa"/>
            <w:shd w:val="clear" w:color="auto" w:fill="auto"/>
          </w:tcPr>
          <w:p w14:paraId="3E53D60C" w14:textId="671F7123" w:rsidR="005B5F1B" w:rsidRDefault="005B5F1B" w:rsidP="00BC6367">
            <w:pPr>
              <w:autoSpaceDE w:val="0"/>
              <w:autoSpaceDN w:val="0"/>
              <w:adjustRightInd w:val="0"/>
              <w:rPr>
                <w:rFonts w:asciiTheme="minorHAnsi" w:hAnsiTheme="minorHAnsi" w:cs="Arial"/>
                <w:szCs w:val="18"/>
                <w:lang w:eastAsia="en-GB"/>
              </w:rPr>
            </w:pPr>
            <w:r w:rsidRPr="009A33E7">
              <w:rPr>
                <w:rFonts w:asciiTheme="minorHAnsi" w:hAnsiTheme="minorHAnsi" w:cs="Arial"/>
                <w:szCs w:val="18"/>
              </w:rPr>
              <w:t>Improve ratio of planned v reactive maintenance and expand number and type of term contracts</w:t>
            </w:r>
          </w:p>
        </w:tc>
        <w:tc>
          <w:tcPr>
            <w:tcW w:w="1134" w:type="dxa"/>
            <w:shd w:val="clear" w:color="auto" w:fill="auto"/>
          </w:tcPr>
          <w:p w14:paraId="3147676C" w14:textId="69FE29EA" w:rsidR="005B5F1B" w:rsidRDefault="005B5F1B" w:rsidP="00BC6367">
            <w:pPr>
              <w:pStyle w:val="Header"/>
              <w:jc w:val="center"/>
              <w:rPr>
                <w:rFonts w:asciiTheme="minorHAnsi" w:hAnsiTheme="minorHAnsi" w:cs="Arial"/>
                <w:szCs w:val="18"/>
              </w:rPr>
            </w:pPr>
            <w:r>
              <w:rPr>
                <w:rFonts w:asciiTheme="minorHAnsi" w:hAnsiTheme="minorHAnsi" w:cs="Arial"/>
                <w:szCs w:val="18"/>
              </w:rPr>
              <w:t>HPA</w:t>
            </w:r>
          </w:p>
        </w:tc>
        <w:tc>
          <w:tcPr>
            <w:tcW w:w="1134" w:type="dxa"/>
            <w:shd w:val="clear" w:color="auto" w:fill="auto"/>
          </w:tcPr>
          <w:p w14:paraId="1B5764A4" w14:textId="099B389C" w:rsidR="005B5F1B" w:rsidRDefault="005B5F1B" w:rsidP="00BC6367">
            <w:pPr>
              <w:pStyle w:val="Header"/>
              <w:jc w:val="center"/>
              <w:rPr>
                <w:rFonts w:asciiTheme="minorHAnsi" w:hAnsiTheme="minorHAnsi" w:cs="Arial"/>
                <w:szCs w:val="18"/>
              </w:rPr>
            </w:pPr>
            <w:r>
              <w:rPr>
                <w:rFonts w:asciiTheme="minorHAnsi" w:hAnsiTheme="minorHAnsi" w:cs="Arial"/>
                <w:szCs w:val="18"/>
              </w:rPr>
              <w:t>2024/26</w:t>
            </w:r>
          </w:p>
        </w:tc>
        <w:tc>
          <w:tcPr>
            <w:tcW w:w="1495" w:type="dxa"/>
            <w:shd w:val="clear" w:color="auto" w:fill="auto"/>
          </w:tcPr>
          <w:p w14:paraId="02BCA938" w14:textId="5135A92C" w:rsidR="005B5F1B" w:rsidRDefault="005B5F1B" w:rsidP="00B742A1">
            <w:pPr>
              <w:pStyle w:val="Header"/>
              <w:jc w:val="both"/>
              <w:rPr>
                <w:rFonts w:asciiTheme="minorHAnsi" w:hAnsiTheme="minorHAnsi" w:cs="Arial"/>
                <w:szCs w:val="18"/>
              </w:rPr>
            </w:pPr>
            <w:r>
              <w:rPr>
                <w:rFonts w:asciiTheme="minorHAnsi" w:hAnsiTheme="minorHAnsi" w:cs="Arial"/>
                <w:szCs w:val="18"/>
              </w:rPr>
              <w:t>On-going</w:t>
            </w:r>
          </w:p>
        </w:tc>
      </w:tr>
      <w:tr w:rsidR="005B5F1B" w:rsidRPr="008141C5" w14:paraId="1D1F804E" w14:textId="77777777" w:rsidTr="005B5F1B">
        <w:tc>
          <w:tcPr>
            <w:tcW w:w="1271" w:type="dxa"/>
            <w:vMerge/>
            <w:shd w:val="clear" w:color="auto" w:fill="auto"/>
          </w:tcPr>
          <w:p w14:paraId="103583F9" w14:textId="37FF80F0" w:rsidR="005B5F1B" w:rsidRPr="009A33E7" w:rsidRDefault="005B5F1B" w:rsidP="00BC6367">
            <w:pPr>
              <w:autoSpaceDE w:val="0"/>
              <w:autoSpaceDN w:val="0"/>
              <w:adjustRightInd w:val="0"/>
              <w:jc w:val="center"/>
              <w:rPr>
                <w:rFonts w:asciiTheme="minorHAnsi" w:hAnsiTheme="minorHAnsi" w:cs="Arial"/>
                <w:szCs w:val="18"/>
                <w:lang w:eastAsia="en-GB"/>
              </w:rPr>
            </w:pPr>
          </w:p>
        </w:tc>
        <w:tc>
          <w:tcPr>
            <w:tcW w:w="1559" w:type="dxa"/>
          </w:tcPr>
          <w:p w14:paraId="4387E8E7" w14:textId="2F731EA3" w:rsidR="005B5F1B" w:rsidRPr="009A33E7"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Learning Estate</w:t>
            </w:r>
          </w:p>
        </w:tc>
        <w:tc>
          <w:tcPr>
            <w:tcW w:w="3261" w:type="dxa"/>
            <w:shd w:val="clear" w:color="auto" w:fill="auto"/>
          </w:tcPr>
          <w:p w14:paraId="7014AB1D" w14:textId="78A9BADF" w:rsidR="005B5F1B" w:rsidRPr="009A33E7"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Develop</w:t>
            </w:r>
            <w:r w:rsidRPr="00B742A1">
              <w:rPr>
                <w:rFonts w:asciiTheme="minorHAnsi" w:hAnsiTheme="minorHAnsi" w:cs="Arial"/>
                <w:szCs w:val="18"/>
                <w:lang w:eastAsia="en-GB"/>
              </w:rPr>
              <w:t xml:space="preserve"> </w:t>
            </w:r>
            <w:r>
              <w:rPr>
                <w:rFonts w:asciiTheme="minorHAnsi" w:hAnsiTheme="minorHAnsi" w:cs="Arial"/>
                <w:szCs w:val="18"/>
                <w:lang w:eastAsia="en-GB"/>
              </w:rPr>
              <w:t xml:space="preserve">Asset </w:t>
            </w:r>
            <w:r w:rsidRPr="00B742A1">
              <w:rPr>
                <w:rFonts w:asciiTheme="minorHAnsi" w:hAnsiTheme="minorHAnsi" w:cs="Arial"/>
                <w:szCs w:val="18"/>
                <w:lang w:eastAsia="en-GB"/>
              </w:rPr>
              <w:t xml:space="preserve">Management Plan </w:t>
            </w:r>
            <w:r>
              <w:rPr>
                <w:rFonts w:asciiTheme="minorHAnsi" w:hAnsiTheme="minorHAnsi" w:cs="Arial"/>
                <w:szCs w:val="18"/>
                <w:lang w:eastAsia="en-GB"/>
              </w:rPr>
              <w:t>(including review of Port Glasgow denominational primary provision and retrofit approach for Net Zero)</w:t>
            </w:r>
          </w:p>
        </w:tc>
        <w:tc>
          <w:tcPr>
            <w:tcW w:w="1134" w:type="dxa"/>
            <w:shd w:val="clear" w:color="auto" w:fill="auto"/>
          </w:tcPr>
          <w:p w14:paraId="63F5788F" w14:textId="59FB8670"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ECOD</w:t>
            </w:r>
          </w:p>
        </w:tc>
        <w:tc>
          <w:tcPr>
            <w:tcW w:w="1134" w:type="dxa"/>
            <w:shd w:val="clear" w:color="auto" w:fill="auto"/>
          </w:tcPr>
          <w:p w14:paraId="5B1EFE0F" w14:textId="0C398D54"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2024/26</w:t>
            </w:r>
          </w:p>
        </w:tc>
        <w:tc>
          <w:tcPr>
            <w:tcW w:w="1495" w:type="dxa"/>
            <w:shd w:val="clear" w:color="auto" w:fill="auto"/>
          </w:tcPr>
          <w:p w14:paraId="4F0565CE" w14:textId="298ECCF5" w:rsidR="005B5F1B" w:rsidRPr="009A33E7" w:rsidRDefault="005B5F1B" w:rsidP="00B742A1">
            <w:pPr>
              <w:pStyle w:val="Header"/>
              <w:jc w:val="both"/>
              <w:rPr>
                <w:rFonts w:asciiTheme="minorHAnsi" w:hAnsiTheme="minorHAnsi" w:cs="Arial"/>
                <w:szCs w:val="18"/>
              </w:rPr>
            </w:pPr>
            <w:r>
              <w:rPr>
                <w:rFonts w:asciiTheme="minorHAnsi" w:hAnsiTheme="minorHAnsi" w:cs="Arial"/>
                <w:szCs w:val="18"/>
              </w:rPr>
              <w:t>O</w:t>
            </w:r>
            <w:r w:rsidRPr="009A33E7">
              <w:rPr>
                <w:rFonts w:asciiTheme="minorHAnsi" w:hAnsiTheme="minorHAnsi" w:cs="Arial"/>
                <w:szCs w:val="18"/>
              </w:rPr>
              <w:t>n-going</w:t>
            </w:r>
          </w:p>
        </w:tc>
      </w:tr>
      <w:tr w:rsidR="005B5F1B" w:rsidRPr="008141C5" w14:paraId="7F1C98C8" w14:textId="77777777" w:rsidTr="005B5F1B">
        <w:tc>
          <w:tcPr>
            <w:tcW w:w="1271" w:type="dxa"/>
            <w:vMerge/>
            <w:shd w:val="clear" w:color="auto" w:fill="auto"/>
          </w:tcPr>
          <w:p w14:paraId="5C89FC76" w14:textId="6002378D" w:rsidR="005B5F1B" w:rsidRPr="009A33E7" w:rsidRDefault="005B5F1B" w:rsidP="00BC6367">
            <w:pPr>
              <w:autoSpaceDE w:val="0"/>
              <w:autoSpaceDN w:val="0"/>
              <w:adjustRightInd w:val="0"/>
              <w:jc w:val="center"/>
              <w:rPr>
                <w:rFonts w:asciiTheme="minorHAnsi" w:hAnsiTheme="minorHAnsi" w:cs="Arial"/>
                <w:szCs w:val="18"/>
                <w:lang w:eastAsia="en-GB"/>
              </w:rPr>
            </w:pPr>
          </w:p>
        </w:tc>
        <w:tc>
          <w:tcPr>
            <w:tcW w:w="1559" w:type="dxa"/>
          </w:tcPr>
          <w:p w14:paraId="7A76EE00" w14:textId="29013357" w:rsidR="005B5F1B" w:rsidRPr="009A33E7" w:rsidRDefault="005B5F1B" w:rsidP="00BC6367">
            <w:pPr>
              <w:autoSpaceDE w:val="0"/>
              <w:autoSpaceDN w:val="0"/>
              <w:adjustRightInd w:val="0"/>
              <w:rPr>
                <w:rFonts w:asciiTheme="minorHAnsi" w:hAnsiTheme="minorHAnsi" w:cs="Arial"/>
                <w:szCs w:val="18"/>
              </w:rPr>
            </w:pPr>
            <w:r>
              <w:rPr>
                <w:rFonts w:asciiTheme="minorHAnsi" w:hAnsiTheme="minorHAnsi" w:cs="Arial"/>
                <w:szCs w:val="18"/>
              </w:rPr>
              <w:t>Offices</w:t>
            </w:r>
          </w:p>
        </w:tc>
        <w:tc>
          <w:tcPr>
            <w:tcW w:w="3261" w:type="dxa"/>
            <w:shd w:val="clear" w:color="auto" w:fill="auto"/>
          </w:tcPr>
          <w:p w14:paraId="34A729B0" w14:textId="5D4ACBAF" w:rsidR="005B5F1B" w:rsidRPr="009A33E7" w:rsidRDefault="005B5F1B" w:rsidP="00BC6367">
            <w:pPr>
              <w:autoSpaceDE w:val="0"/>
              <w:autoSpaceDN w:val="0"/>
              <w:adjustRightInd w:val="0"/>
              <w:rPr>
                <w:rFonts w:asciiTheme="minorHAnsi" w:hAnsiTheme="minorHAnsi" w:cs="Arial"/>
                <w:szCs w:val="18"/>
              </w:rPr>
            </w:pPr>
            <w:r w:rsidRPr="009A33E7">
              <w:rPr>
                <w:rFonts w:asciiTheme="minorHAnsi" w:hAnsiTheme="minorHAnsi" w:cs="Arial"/>
                <w:szCs w:val="18"/>
              </w:rPr>
              <w:t xml:space="preserve">Review </w:t>
            </w:r>
            <w:r>
              <w:rPr>
                <w:rFonts w:asciiTheme="minorHAnsi" w:hAnsiTheme="minorHAnsi" w:cs="Arial"/>
                <w:szCs w:val="18"/>
              </w:rPr>
              <w:t>provision and scope for rationalisation (including revisiting space study of GMB Campus)</w:t>
            </w:r>
          </w:p>
        </w:tc>
        <w:tc>
          <w:tcPr>
            <w:tcW w:w="1134" w:type="dxa"/>
            <w:shd w:val="clear" w:color="auto" w:fill="auto"/>
          </w:tcPr>
          <w:p w14:paraId="0BF71138" w14:textId="6B1015EF"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DER</w:t>
            </w:r>
          </w:p>
        </w:tc>
        <w:tc>
          <w:tcPr>
            <w:tcW w:w="1134" w:type="dxa"/>
            <w:shd w:val="clear" w:color="auto" w:fill="auto"/>
          </w:tcPr>
          <w:p w14:paraId="205C4160" w14:textId="4D8A5FBE"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2024/26</w:t>
            </w:r>
          </w:p>
        </w:tc>
        <w:tc>
          <w:tcPr>
            <w:tcW w:w="1495" w:type="dxa"/>
            <w:shd w:val="clear" w:color="auto" w:fill="auto"/>
          </w:tcPr>
          <w:p w14:paraId="0E44C3EA" w14:textId="16217952" w:rsidR="005B5F1B" w:rsidRPr="009A33E7" w:rsidRDefault="005B5F1B" w:rsidP="00B742A1">
            <w:pPr>
              <w:autoSpaceDE w:val="0"/>
              <w:autoSpaceDN w:val="0"/>
              <w:adjustRightInd w:val="0"/>
              <w:jc w:val="both"/>
              <w:rPr>
                <w:rFonts w:asciiTheme="minorHAnsi" w:hAnsiTheme="minorHAnsi" w:cs="Arial"/>
                <w:szCs w:val="18"/>
                <w:lang w:eastAsia="en-GB"/>
              </w:rPr>
            </w:pPr>
            <w:r>
              <w:rPr>
                <w:rFonts w:asciiTheme="minorHAnsi" w:hAnsiTheme="minorHAnsi" w:cs="Arial"/>
                <w:szCs w:val="18"/>
                <w:lang w:eastAsia="en-GB"/>
              </w:rPr>
              <w:t>On-going</w:t>
            </w:r>
          </w:p>
        </w:tc>
      </w:tr>
      <w:tr w:rsidR="005B5F1B" w:rsidRPr="008141C5" w14:paraId="29B5A089" w14:textId="77777777" w:rsidTr="005B5F1B">
        <w:tc>
          <w:tcPr>
            <w:tcW w:w="1271" w:type="dxa"/>
            <w:vMerge/>
            <w:shd w:val="clear" w:color="auto" w:fill="auto"/>
          </w:tcPr>
          <w:p w14:paraId="071E3A61" w14:textId="5019F72F" w:rsidR="005B5F1B" w:rsidRPr="009A33E7" w:rsidRDefault="005B5F1B" w:rsidP="00BC6367">
            <w:pPr>
              <w:autoSpaceDE w:val="0"/>
              <w:autoSpaceDN w:val="0"/>
              <w:adjustRightInd w:val="0"/>
              <w:jc w:val="center"/>
              <w:rPr>
                <w:rFonts w:asciiTheme="minorHAnsi" w:hAnsiTheme="minorHAnsi" w:cs="Arial"/>
                <w:szCs w:val="18"/>
                <w:lang w:eastAsia="en-GB"/>
              </w:rPr>
            </w:pPr>
          </w:p>
        </w:tc>
        <w:tc>
          <w:tcPr>
            <w:tcW w:w="1559" w:type="dxa"/>
            <w:vMerge w:val="restart"/>
          </w:tcPr>
          <w:p w14:paraId="620FEFA4" w14:textId="3C16FFA5" w:rsidR="005B5F1B" w:rsidRPr="009A33E7"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Depots</w:t>
            </w:r>
          </w:p>
        </w:tc>
        <w:tc>
          <w:tcPr>
            <w:tcW w:w="3261" w:type="dxa"/>
            <w:shd w:val="clear" w:color="auto" w:fill="auto"/>
          </w:tcPr>
          <w:p w14:paraId="2DB24952" w14:textId="05CC793F" w:rsidR="005B5F1B" w:rsidRPr="009A33E7"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Review civic amenity operation at Craigmuschat.</w:t>
            </w:r>
          </w:p>
        </w:tc>
        <w:tc>
          <w:tcPr>
            <w:tcW w:w="1134" w:type="dxa"/>
            <w:shd w:val="clear" w:color="auto" w:fill="auto"/>
          </w:tcPr>
          <w:p w14:paraId="2BB39D77" w14:textId="1DD19CFC"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DER</w:t>
            </w:r>
          </w:p>
        </w:tc>
        <w:tc>
          <w:tcPr>
            <w:tcW w:w="1134" w:type="dxa"/>
            <w:shd w:val="clear" w:color="auto" w:fill="auto"/>
          </w:tcPr>
          <w:p w14:paraId="24ACAD6F" w14:textId="7F60F326"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2</w:t>
            </w:r>
            <w:r w:rsidRPr="00B365DF">
              <w:rPr>
                <w:rFonts w:asciiTheme="minorHAnsi" w:hAnsiTheme="minorHAnsi" w:cs="Arial"/>
                <w:szCs w:val="18"/>
                <w:vertAlign w:val="superscript"/>
              </w:rPr>
              <w:t>nd</w:t>
            </w:r>
            <w:r>
              <w:rPr>
                <w:rFonts w:asciiTheme="minorHAnsi" w:hAnsiTheme="minorHAnsi" w:cs="Arial"/>
                <w:szCs w:val="18"/>
              </w:rPr>
              <w:t xml:space="preserve"> Quarter 2024</w:t>
            </w:r>
          </w:p>
        </w:tc>
        <w:tc>
          <w:tcPr>
            <w:tcW w:w="1495" w:type="dxa"/>
            <w:shd w:val="clear" w:color="auto" w:fill="auto"/>
          </w:tcPr>
          <w:p w14:paraId="0F862E94" w14:textId="3B95CA5A" w:rsidR="005B5F1B" w:rsidRPr="009A33E7" w:rsidRDefault="005B5F1B" w:rsidP="00B742A1">
            <w:pPr>
              <w:autoSpaceDE w:val="0"/>
              <w:autoSpaceDN w:val="0"/>
              <w:adjustRightInd w:val="0"/>
              <w:jc w:val="both"/>
              <w:rPr>
                <w:rFonts w:asciiTheme="minorHAnsi" w:hAnsiTheme="minorHAnsi" w:cs="Arial"/>
                <w:szCs w:val="18"/>
                <w:lang w:eastAsia="en-GB"/>
              </w:rPr>
            </w:pPr>
            <w:r>
              <w:rPr>
                <w:rFonts w:asciiTheme="minorHAnsi" w:hAnsiTheme="minorHAnsi" w:cs="Arial"/>
                <w:szCs w:val="18"/>
                <w:lang w:eastAsia="en-GB"/>
              </w:rPr>
              <w:t>On-going</w:t>
            </w:r>
          </w:p>
        </w:tc>
      </w:tr>
      <w:tr w:rsidR="005B5F1B" w:rsidRPr="008141C5" w14:paraId="54C425CA" w14:textId="77777777" w:rsidTr="005B5F1B">
        <w:tc>
          <w:tcPr>
            <w:tcW w:w="1271" w:type="dxa"/>
            <w:vMerge/>
            <w:shd w:val="clear" w:color="auto" w:fill="auto"/>
          </w:tcPr>
          <w:p w14:paraId="0B9F22EF" w14:textId="77777777" w:rsidR="005B5F1B" w:rsidRPr="009A33E7" w:rsidRDefault="005B5F1B" w:rsidP="00BC6367">
            <w:pPr>
              <w:autoSpaceDE w:val="0"/>
              <w:autoSpaceDN w:val="0"/>
              <w:adjustRightInd w:val="0"/>
              <w:jc w:val="center"/>
              <w:rPr>
                <w:rFonts w:asciiTheme="minorHAnsi" w:hAnsiTheme="minorHAnsi" w:cs="Arial"/>
                <w:szCs w:val="18"/>
                <w:lang w:eastAsia="en-GB"/>
              </w:rPr>
            </w:pPr>
          </w:p>
        </w:tc>
        <w:tc>
          <w:tcPr>
            <w:tcW w:w="1559" w:type="dxa"/>
            <w:vMerge/>
          </w:tcPr>
          <w:p w14:paraId="730BD9F4" w14:textId="77777777" w:rsidR="005B5F1B" w:rsidRDefault="005B5F1B" w:rsidP="00BC6367">
            <w:pPr>
              <w:autoSpaceDE w:val="0"/>
              <w:autoSpaceDN w:val="0"/>
              <w:adjustRightInd w:val="0"/>
              <w:rPr>
                <w:rFonts w:asciiTheme="minorHAnsi" w:hAnsiTheme="minorHAnsi" w:cs="Arial"/>
                <w:szCs w:val="18"/>
                <w:lang w:eastAsia="en-GB"/>
              </w:rPr>
            </w:pPr>
          </w:p>
        </w:tc>
        <w:tc>
          <w:tcPr>
            <w:tcW w:w="3261" w:type="dxa"/>
            <w:shd w:val="clear" w:color="auto" w:fill="auto"/>
          </w:tcPr>
          <w:p w14:paraId="28B54926" w14:textId="3101075C" w:rsidR="005B5F1B" w:rsidRPr="009A33E7" w:rsidRDefault="005B5F1B" w:rsidP="00BC6367">
            <w:pPr>
              <w:autoSpaceDE w:val="0"/>
              <w:autoSpaceDN w:val="0"/>
              <w:adjustRightInd w:val="0"/>
              <w:rPr>
                <w:rFonts w:asciiTheme="minorHAnsi" w:hAnsiTheme="minorHAnsi" w:cs="Arial"/>
                <w:szCs w:val="18"/>
                <w:lang w:eastAsia="en-GB"/>
              </w:rPr>
            </w:pPr>
            <w:r>
              <w:rPr>
                <w:rFonts w:asciiTheme="minorHAnsi" w:hAnsiTheme="minorHAnsi" w:cs="Arial"/>
                <w:szCs w:val="18"/>
                <w:lang w:eastAsia="en-GB"/>
              </w:rPr>
              <w:t>Review provision at Ingelston Park.</w:t>
            </w:r>
          </w:p>
        </w:tc>
        <w:tc>
          <w:tcPr>
            <w:tcW w:w="1134" w:type="dxa"/>
            <w:shd w:val="clear" w:color="auto" w:fill="auto"/>
          </w:tcPr>
          <w:p w14:paraId="4DC3F2AC" w14:textId="136DB793"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DER</w:t>
            </w:r>
          </w:p>
        </w:tc>
        <w:tc>
          <w:tcPr>
            <w:tcW w:w="1134" w:type="dxa"/>
            <w:shd w:val="clear" w:color="auto" w:fill="auto"/>
          </w:tcPr>
          <w:p w14:paraId="71418F57" w14:textId="72DB5BE8"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3</w:t>
            </w:r>
            <w:r w:rsidRPr="00B365DF">
              <w:rPr>
                <w:rFonts w:asciiTheme="minorHAnsi" w:hAnsiTheme="minorHAnsi" w:cs="Arial"/>
                <w:szCs w:val="18"/>
                <w:vertAlign w:val="superscript"/>
              </w:rPr>
              <w:t>rd</w:t>
            </w:r>
            <w:r>
              <w:rPr>
                <w:rFonts w:asciiTheme="minorHAnsi" w:hAnsiTheme="minorHAnsi" w:cs="Arial"/>
                <w:szCs w:val="18"/>
              </w:rPr>
              <w:t xml:space="preserve"> Quarter 2024</w:t>
            </w:r>
          </w:p>
        </w:tc>
        <w:tc>
          <w:tcPr>
            <w:tcW w:w="1495" w:type="dxa"/>
            <w:shd w:val="clear" w:color="auto" w:fill="auto"/>
          </w:tcPr>
          <w:p w14:paraId="7B24FB28" w14:textId="1F28E829" w:rsidR="005B5F1B" w:rsidRPr="009A33E7" w:rsidRDefault="005B5F1B" w:rsidP="00B742A1">
            <w:pPr>
              <w:autoSpaceDE w:val="0"/>
              <w:autoSpaceDN w:val="0"/>
              <w:adjustRightInd w:val="0"/>
              <w:jc w:val="both"/>
              <w:rPr>
                <w:rFonts w:asciiTheme="minorHAnsi" w:hAnsiTheme="minorHAnsi" w:cs="Arial"/>
                <w:szCs w:val="18"/>
                <w:lang w:eastAsia="en-GB"/>
              </w:rPr>
            </w:pPr>
            <w:r>
              <w:rPr>
                <w:rFonts w:asciiTheme="minorHAnsi" w:hAnsiTheme="minorHAnsi" w:cs="Arial"/>
                <w:szCs w:val="18"/>
                <w:lang w:eastAsia="en-GB"/>
              </w:rPr>
              <w:t>Planned</w:t>
            </w:r>
          </w:p>
        </w:tc>
      </w:tr>
      <w:tr w:rsidR="005B5F1B" w:rsidRPr="008141C5" w14:paraId="62B44073" w14:textId="77777777" w:rsidTr="005B5F1B">
        <w:tc>
          <w:tcPr>
            <w:tcW w:w="1271" w:type="dxa"/>
            <w:vMerge/>
            <w:shd w:val="clear" w:color="auto" w:fill="auto"/>
          </w:tcPr>
          <w:p w14:paraId="37DC6729" w14:textId="0F2CB38C" w:rsidR="005B5F1B" w:rsidRPr="009A33E7" w:rsidRDefault="005B5F1B" w:rsidP="00BC6367">
            <w:pPr>
              <w:pStyle w:val="Header"/>
              <w:jc w:val="center"/>
              <w:rPr>
                <w:rFonts w:asciiTheme="minorHAnsi" w:hAnsiTheme="minorHAnsi" w:cs="Arial"/>
                <w:szCs w:val="18"/>
              </w:rPr>
            </w:pPr>
          </w:p>
        </w:tc>
        <w:tc>
          <w:tcPr>
            <w:tcW w:w="1559" w:type="dxa"/>
          </w:tcPr>
          <w:p w14:paraId="1BB61991" w14:textId="0B386B69" w:rsidR="005B5F1B" w:rsidRPr="009A33E7" w:rsidRDefault="005B5F1B" w:rsidP="00BC6367">
            <w:pPr>
              <w:pStyle w:val="Header"/>
              <w:rPr>
                <w:rFonts w:asciiTheme="minorHAnsi" w:hAnsiTheme="minorHAnsi" w:cs="Arial"/>
                <w:szCs w:val="18"/>
              </w:rPr>
            </w:pPr>
            <w:r>
              <w:rPr>
                <w:rFonts w:asciiTheme="minorHAnsi" w:hAnsiTheme="minorHAnsi" w:cs="Arial"/>
                <w:szCs w:val="18"/>
              </w:rPr>
              <w:t>Leisure</w:t>
            </w:r>
          </w:p>
        </w:tc>
        <w:tc>
          <w:tcPr>
            <w:tcW w:w="3261" w:type="dxa"/>
            <w:shd w:val="clear" w:color="auto" w:fill="auto"/>
          </w:tcPr>
          <w:p w14:paraId="1D6E5D00" w14:textId="344D8C6C" w:rsidR="005B5F1B" w:rsidRPr="009A33E7" w:rsidRDefault="005B5F1B" w:rsidP="00BC6367">
            <w:pPr>
              <w:pStyle w:val="Header"/>
              <w:rPr>
                <w:rFonts w:asciiTheme="minorHAnsi" w:hAnsiTheme="minorHAnsi" w:cs="Arial"/>
                <w:szCs w:val="18"/>
              </w:rPr>
            </w:pPr>
            <w:r w:rsidRPr="009A33E7">
              <w:rPr>
                <w:rFonts w:asciiTheme="minorHAnsi" w:hAnsiTheme="minorHAnsi" w:cs="Arial"/>
                <w:szCs w:val="18"/>
                <w:lang w:eastAsia="en-GB"/>
              </w:rPr>
              <w:t>Refresh of 3G/artificial pitches asset plan</w:t>
            </w:r>
            <w:r w:rsidRPr="009A33E7">
              <w:rPr>
                <w:rFonts w:asciiTheme="minorHAnsi" w:hAnsiTheme="minorHAnsi" w:cs="Arial"/>
                <w:szCs w:val="18"/>
              </w:rPr>
              <w:t xml:space="preserve"> </w:t>
            </w:r>
          </w:p>
        </w:tc>
        <w:tc>
          <w:tcPr>
            <w:tcW w:w="1134" w:type="dxa"/>
            <w:shd w:val="clear" w:color="auto" w:fill="auto"/>
          </w:tcPr>
          <w:p w14:paraId="2DF278F5" w14:textId="25D9203A"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ECOD</w:t>
            </w:r>
          </w:p>
        </w:tc>
        <w:tc>
          <w:tcPr>
            <w:tcW w:w="1134" w:type="dxa"/>
            <w:shd w:val="clear" w:color="auto" w:fill="auto"/>
          </w:tcPr>
          <w:p w14:paraId="4A170C12" w14:textId="01FDD559"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2</w:t>
            </w:r>
            <w:r w:rsidRPr="00B742A1">
              <w:rPr>
                <w:rFonts w:asciiTheme="minorHAnsi" w:hAnsiTheme="minorHAnsi" w:cs="Arial"/>
                <w:szCs w:val="18"/>
                <w:vertAlign w:val="superscript"/>
              </w:rPr>
              <w:t>nd</w:t>
            </w:r>
            <w:r>
              <w:rPr>
                <w:rFonts w:asciiTheme="minorHAnsi" w:hAnsiTheme="minorHAnsi" w:cs="Arial"/>
                <w:szCs w:val="18"/>
              </w:rPr>
              <w:t xml:space="preserve"> Quarter 2024</w:t>
            </w:r>
          </w:p>
        </w:tc>
        <w:tc>
          <w:tcPr>
            <w:tcW w:w="1495" w:type="dxa"/>
            <w:shd w:val="clear" w:color="auto" w:fill="auto"/>
          </w:tcPr>
          <w:p w14:paraId="7136E9CD" w14:textId="36CA00A2" w:rsidR="005B5F1B" w:rsidRPr="009A33E7" w:rsidRDefault="005B5F1B" w:rsidP="00B742A1">
            <w:pPr>
              <w:pStyle w:val="Header"/>
              <w:jc w:val="both"/>
              <w:rPr>
                <w:rFonts w:asciiTheme="minorHAnsi" w:hAnsiTheme="minorHAnsi" w:cs="Arial"/>
                <w:szCs w:val="18"/>
              </w:rPr>
            </w:pPr>
            <w:r>
              <w:rPr>
                <w:rFonts w:asciiTheme="minorHAnsi" w:hAnsiTheme="minorHAnsi" w:cs="Arial"/>
                <w:szCs w:val="18"/>
              </w:rPr>
              <w:t>Planned</w:t>
            </w:r>
          </w:p>
        </w:tc>
      </w:tr>
      <w:tr w:rsidR="005B5F1B" w:rsidRPr="008141C5" w14:paraId="293744E3" w14:textId="77777777" w:rsidTr="005B5F1B">
        <w:tc>
          <w:tcPr>
            <w:tcW w:w="1271" w:type="dxa"/>
            <w:vMerge/>
            <w:shd w:val="clear" w:color="auto" w:fill="auto"/>
          </w:tcPr>
          <w:p w14:paraId="38197A08" w14:textId="40F0C3CC" w:rsidR="005B5F1B" w:rsidRPr="009A33E7" w:rsidRDefault="005B5F1B" w:rsidP="00BC6367">
            <w:pPr>
              <w:pStyle w:val="Header"/>
              <w:jc w:val="center"/>
              <w:rPr>
                <w:rFonts w:asciiTheme="minorHAnsi" w:hAnsiTheme="minorHAnsi" w:cs="Arial"/>
                <w:szCs w:val="18"/>
              </w:rPr>
            </w:pPr>
          </w:p>
        </w:tc>
        <w:tc>
          <w:tcPr>
            <w:tcW w:w="1559" w:type="dxa"/>
          </w:tcPr>
          <w:p w14:paraId="6FC3F965" w14:textId="626B4AC2" w:rsidR="005B5F1B" w:rsidRPr="009A33E7" w:rsidRDefault="005B5F1B" w:rsidP="00BC6367">
            <w:pPr>
              <w:pStyle w:val="Header"/>
              <w:rPr>
                <w:rFonts w:asciiTheme="minorHAnsi" w:hAnsiTheme="minorHAnsi" w:cs="Arial"/>
                <w:szCs w:val="18"/>
              </w:rPr>
            </w:pPr>
            <w:r>
              <w:rPr>
                <w:rFonts w:asciiTheme="minorHAnsi" w:hAnsiTheme="minorHAnsi" w:cs="Arial"/>
                <w:szCs w:val="18"/>
              </w:rPr>
              <w:t>Coastal Assets</w:t>
            </w:r>
          </w:p>
        </w:tc>
        <w:tc>
          <w:tcPr>
            <w:tcW w:w="3261" w:type="dxa"/>
            <w:shd w:val="clear" w:color="auto" w:fill="auto"/>
          </w:tcPr>
          <w:p w14:paraId="4335F82E" w14:textId="77777777" w:rsidR="005B5F1B" w:rsidRDefault="005B5F1B" w:rsidP="00BC6367">
            <w:pPr>
              <w:pStyle w:val="Header"/>
              <w:rPr>
                <w:rFonts w:asciiTheme="minorHAnsi" w:hAnsiTheme="minorHAnsi" w:cs="Arial"/>
                <w:szCs w:val="18"/>
              </w:rPr>
            </w:pPr>
            <w:r>
              <w:rPr>
                <w:rFonts w:asciiTheme="minorHAnsi" w:hAnsiTheme="minorHAnsi" w:cs="Arial"/>
                <w:szCs w:val="18"/>
              </w:rPr>
              <w:t xml:space="preserve">Continue </w:t>
            </w:r>
            <w:r w:rsidRPr="009A33E7">
              <w:rPr>
                <w:rFonts w:asciiTheme="minorHAnsi" w:hAnsiTheme="minorHAnsi" w:cs="Arial"/>
                <w:szCs w:val="18"/>
              </w:rPr>
              <w:t>asset mapping and condition surveys of sea walls / defences / slipways</w:t>
            </w:r>
            <w:r>
              <w:rPr>
                <w:rFonts w:asciiTheme="minorHAnsi" w:hAnsiTheme="minorHAnsi" w:cs="Arial"/>
                <w:szCs w:val="18"/>
              </w:rPr>
              <w:t>.</w:t>
            </w:r>
          </w:p>
          <w:p w14:paraId="446B6138" w14:textId="179B21BA" w:rsidR="005B5F1B" w:rsidRPr="009A33E7" w:rsidRDefault="005B5F1B" w:rsidP="00BC6367">
            <w:pPr>
              <w:pStyle w:val="Header"/>
              <w:rPr>
                <w:rFonts w:asciiTheme="minorHAnsi" w:hAnsiTheme="minorHAnsi" w:cs="Arial"/>
                <w:szCs w:val="18"/>
              </w:rPr>
            </w:pPr>
          </w:p>
        </w:tc>
        <w:tc>
          <w:tcPr>
            <w:tcW w:w="1134" w:type="dxa"/>
            <w:shd w:val="clear" w:color="auto" w:fill="auto"/>
          </w:tcPr>
          <w:p w14:paraId="667D72CA" w14:textId="6983DD89"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HPA / DER</w:t>
            </w:r>
          </w:p>
        </w:tc>
        <w:tc>
          <w:tcPr>
            <w:tcW w:w="1134" w:type="dxa"/>
            <w:shd w:val="clear" w:color="auto" w:fill="auto"/>
          </w:tcPr>
          <w:p w14:paraId="75A99A3A" w14:textId="28282F9F" w:rsidR="005B5F1B" w:rsidRPr="009A33E7" w:rsidRDefault="005B5F1B" w:rsidP="00BC6367">
            <w:pPr>
              <w:pStyle w:val="Header"/>
              <w:jc w:val="center"/>
              <w:rPr>
                <w:rFonts w:asciiTheme="minorHAnsi" w:hAnsiTheme="minorHAnsi" w:cs="Arial"/>
                <w:szCs w:val="18"/>
              </w:rPr>
            </w:pPr>
            <w:r>
              <w:rPr>
                <w:rFonts w:asciiTheme="minorHAnsi" w:hAnsiTheme="minorHAnsi" w:cs="Arial"/>
                <w:szCs w:val="18"/>
              </w:rPr>
              <w:t>2024/26</w:t>
            </w:r>
          </w:p>
        </w:tc>
        <w:tc>
          <w:tcPr>
            <w:tcW w:w="1495" w:type="dxa"/>
            <w:shd w:val="clear" w:color="auto" w:fill="auto"/>
          </w:tcPr>
          <w:p w14:paraId="068EA407" w14:textId="72DBC6DD" w:rsidR="005B5F1B" w:rsidRPr="009A33E7" w:rsidRDefault="005B5F1B" w:rsidP="00B742A1">
            <w:pPr>
              <w:pStyle w:val="Header"/>
              <w:jc w:val="both"/>
              <w:rPr>
                <w:rFonts w:asciiTheme="minorHAnsi" w:hAnsiTheme="minorHAnsi" w:cs="Arial"/>
                <w:szCs w:val="18"/>
              </w:rPr>
            </w:pPr>
            <w:r>
              <w:rPr>
                <w:rFonts w:asciiTheme="minorHAnsi" w:hAnsiTheme="minorHAnsi" w:cs="Arial"/>
                <w:szCs w:val="18"/>
              </w:rPr>
              <w:t>On-going</w:t>
            </w:r>
          </w:p>
        </w:tc>
      </w:tr>
      <w:tr w:rsidR="00B742A1" w:rsidRPr="008141C5" w14:paraId="2AB7AD89" w14:textId="77777777" w:rsidTr="005B5F1B">
        <w:tc>
          <w:tcPr>
            <w:tcW w:w="1271" w:type="dxa"/>
            <w:shd w:val="clear" w:color="auto" w:fill="auto"/>
          </w:tcPr>
          <w:p w14:paraId="485A6F9D" w14:textId="10CB211F" w:rsidR="00F67BA2" w:rsidRPr="009A33E7" w:rsidRDefault="005B5F1B" w:rsidP="005B5F1B">
            <w:pPr>
              <w:pStyle w:val="Header"/>
              <w:rPr>
                <w:rFonts w:asciiTheme="minorHAnsi" w:hAnsiTheme="minorHAnsi" w:cs="Arial"/>
                <w:szCs w:val="18"/>
              </w:rPr>
            </w:pPr>
            <w:r>
              <w:rPr>
                <w:rFonts w:asciiTheme="minorHAnsi" w:hAnsiTheme="minorHAnsi" w:cs="Arial"/>
                <w:szCs w:val="18"/>
              </w:rPr>
              <w:t>Open Space</w:t>
            </w:r>
          </w:p>
        </w:tc>
        <w:tc>
          <w:tcPr>
            <w:tcW w:w="1559" w:type="dxa"/>
          </w:tcPr>
          <w:p w14:paraId="53B1D15B" w14:textId="5F42A360" w:rsidR="00F67BA2" w:rsidRPr="009A33E7" w:rsidRDefault="005B5F1B" w:rsidP="00BC6367">
            <w:pPr>
              <w:pStyle w:val="Header"/>
              <w:rPr>
                <w:rFonts w:asciiTheme="minorHAnsi" w:hAnsiTheme="minorHAnsi" w:cs="Arial"/>
                <w:szCs w:val="18"/>
              </w:rPr>
            </w:pPr>
            <w:r>
              <w:rPr>
                <w:rFonts w:asciiTheme="minorHAnsi" w:hAnsiTheme="minorHAnsi" w:cs="Arial"/>
                <w:szCs w:val="18"/>
              </w:rPr>
              <w:t>Cemeteries</w:t>
            </w:r>
          </w:p>
        </w:tc>
        <w:tc>
          <w:tcPr>
            <w:tcW w:w="3261" w:type="dxa"/>
            <w:shd w:val="clear" w:color="auto" w:fill="auto"/>
          </w:tcPr>
          <w:p w14:paraId="3B6ED877" w14:textId="77777777" w:rsidR="00F67BA2" w:rsidRDefault="00F67BA2" w:rsidP="00BC6367">
            <w:pPr>
              <w:pStyle w:val="Header"/>
              <w:rPr>
                <w:rFonts w:asciiTheme="minorHAnsi" w:hAnsiTheme="minorHAnsi" w:cs="Arial"/>
                <w:szCs w:val="18"/>
              </w:rPr>
            </w:pPr>
            <w:r w:rsidRPr="009A33E7">
              <w:rPr>
                <w:rFonts w:asciiTheme="minorHAnsi" w:hAnsiTheme="minorHAnsi" w:cs="Arial"/>
                <w:szCs w:val="18"/>
              </w:rPr>
              <w:t xml:space="preserve">Review of </w:t>
            </w:r>
            <w:r w:rsidR="005B5F1B">
              <w:rPr>
                <w:rFonts w:asciiTheme="minorHAnsi" w:hAnsiTheme="minorHAnsi" w:cs="Arial"/>
                <w:szCs w:val="18"/>
              </w:rPr>
              <w:t>expansion options and identification of capital funding requirements.</w:t>
            </w:r>
          </w:p>
          <w:p w14:paraId="5078A7E3" w14:textId="2894B408" w:rsidR="005B5F1B" w:rsidRPr="009A33E7" w:rsidRDefault="005B5F1B" w:rsidP="00BC6367">
            <w:pPr>
              <w:pStyle w:val="Header"/>
              <w:rPr>
                <w:rFonts w:asciiTheme="minorHAnsi" w:hAnsiTheme="minorHAnsi" w:cs="Arial"/>
                <w:szCs w:val="18"/>
              </w:rPr>
            </w:pPr>
          </w:p>
        </w:tc>
        <w:tc>
          <w:tcPr>
            <w:tcW w:w="1134" w:type="dxa"/>
            <w:shd w:val="clear" w:color="auto" w:fill="auto"/>
          </w:tcPr>
          <w:p w14:paraId="3FCD7EBD" w14:textId="031BC726" w:rsidR="00F67BA2" w:rsidRPr="009A33E7" w:rsidRDefault="005B5F1B" w:rsidP="00BC6367">
            <w:pPr>
              <w:pStyle w:val="Header"/>
              <w:jc w:val="center"/>
              <w:rPr>
                <w:rFonts w:asciiTheme="minorHAnsi" w:hAnsiTheme="minorHAnsi" w:cs="Arial"/>
                <w:szCs w:val="18"/>
              </w:rPr>
            </w:pPr>
            <w:r>
              <w:rPr>
                <w:rFonts w:asciiTheme="minorHAnsi" w:hAnsiTheme="minorHAnsi" w:cs="Arial"/>
                <w:szCs w:val="18"/>
              </w:rPr>
              <w:t>HPA / DER</w:t>
            </w:r>
          </w:p>
        </w:tc>
        <w:tc>
          <w:tcPr>
            <w:tcW w:w="1134" w:type="dxa"/>
            <w:shd w:val="clear" w:color="auto" w:fill="auto"/>
          </w:tcPr>
          <w:p w14:paraId="4983F93E" w14:textId="7E87AA59" w:rsidR="00F67BA2" w:rsidRPr="009A33E7" w:rsidRDefault="005B5F1B" w:rsidP="00BC6367">
            <w:pPr>
              <w:pStyle w:val="Header"/>
              <w:jc w:val="center"/>
              <w:rPr>
                <w:rFonts w:asciiTheme="minorHAnsi" w:hAnsiTheme="minorHAnsi" w:cs="Arial"/>
                <w:szCs w:val="18"/>
              </w:rPr>
            </w:pPr>
            <w:r>
              <w:rPr>
                <w:rFonts w:asciiTheme="minorHAnsi" w:hAnsiTheme="minorHAnsi" w:cs="Arial"/>
                <w:szCs w:val="18"/>
              </w:rPr>
              <w:t>2026/27</w:t>
            </w:r>
          </w:p>
        </w:tc>
        <w:tc>
          <w:tcPr>
            <w:tcW w:w="1495" w:type="dxa"/>
            <w:shd w:val="clear" w:color="auto" w:fill="auto"/>
          </w:tcPr>
          <w:p w14:paraId="66FD9E88" w14:textId="2AFBEBC7" w:rsidR="00F67BA2" w:rsidRPr="009A33E7" w:rsidRDefault="005B5F1B" w:rsidP="00B742A1">
            <w:pPr>
              <w:pStyle w:val="Header"/>
              <w:jc w:val="both"/>
              <w:rPr>
                <w:rFonts w:asciiTheme="minorHAnsi" w:hAnsiTheme="minorHAnsi" w:cs="Arial"/>
                <w:szCs w:val="18"/>
              </w:rPr>
            </w:pPr>
            <w:r>
              <w:rPr>
                <w:rFonts w:asciiTheme="minorHAnsi" w:hAnsiTheme="minorHAnsi" w:cs="Arial"/>
                <w:szCs w:val="18"/>
              </w:rPr>
              <w:t>Planned</w:t>
            </w:r>
          </w:p>
        </w:tc>
      </w:tr>
      <w:tr w:rsidR="00B742A1" w:rsidRPr="008141C5" w14:paraId="5DCB10BA" w14:textId="77777777" w:rsidTr="005B5F1B">
        <w:tc>
          <w:tcPr>
            <w:tcW w:w="1271" w:type="dxa"/>
            <w:shd w:val="clear" w:color="auto" w:fill="auto"/>
          </w:tcPr>
          <w:p w14:paraId="63892A59" w14:textId="2D9D9A2F" w:rsidR="00F67BA2" w:rsidRPr="009A33E7" w:rsidRDefault="005B5F1B" w:rsidP="005B5F1B">
            <w:pPr>
              <w:pStyle w:val="Header"/>
              <w:rPr>
                <w:rFonts w:asciiTheme="minorHAnsi" w:hAnsiTheme="minorHAnsi" w:cs="Arial"/>
                <w:szCs w:val="18"/>
              </w:rPr>
            </w:pPr>
            <w:r>
              <w:rPr>
                <w:rFonts w:asciiTheme="minorHAnsi" w:hAnsiTheme="minorHAnsi" w:cs="Arial"/>
                <w:szCs w:val="18"/>
              </w:rPr>
              <w:t>Roads</w:t>
            </w:r>
          </w:p>
        </w:tc>
        <w:tc>
          <w:tcPr>
            <w:tcW w:w="1559" w:type="dxa"/>
          </w:tcPr>
          <w:p w14:paraId="4F1D8E5B" w14:textId="1D574C25" w:rsidR="00F67BA2" w:rsidRPr="009A33E7" w:rsidRDefault="005B5F1B" w:rsidP="00BC6367">
            <w:pPr>
              <w:pStyle w:val="Header"/>
              <w:rPr>
                <w:rFonts w:asciiTheme="minorHAnsi" w:hAnsiTheme="minorHAnsi" w:cs="Arial"/>
                <w:szCs w:val="18"/>
              </w:rPr>
            </w:pPr>
            <w:r>
              <w:rPr>
                <w:rFonts w:asciiTheme="minorHAnsi" w:hAnsiTheme="minorHAnsi" w:cs="Arial"/>
                <w:szCs w:val="18"/>
              </w:rPr>
              <w:t>Strategy</w:t>
            </w:r>
          </w:p>
        </w:tc>
        <w:tc>
          <w:tcPr>
            <w:tcW w:w="3261" w:type="dxa"/>
            <w:shd w:val="clear" w:color="auto" w:fill="auto"/>
          </w:tcPr>
          <w:p w14:paraId="202A8069" w14:textId="56043C2C" w:rsidR="00F67BA2" w:rsidRPr="009A33E7" w:rsidRDefault="005B5F1B" w:rsidP="00BC6367">
            <w:pPr>
              <w:pStyle w:val="Header"/>
              <w:rPr>
                <w:rFonts w:asciiTheme="minorHAnsi" w:hAnsiTheme="minorHAnsi" w:cs="Arial"/>
                <w:szCs w:val="18"/>
              </w:rPr>
            </w:pPr>
            <w:r>
              <w:rPr>
                <w:rFonts w:asciiTheme="minorHAnsi" w:hAnsiTheme="minorHAnsi" w:cs="Arial"/>
                <w:szCs w:val="18"/>
              </w:rPr>
              <w:t>Complete RAMS refresh and report to E&amp;R Committee.</w:t>
            </w:r>
          </w:p>
        </w:tc>
        <w:tc>
          <w:tcPr>
            <w:tcW w:w="1134" w:type="dxa"/>
            <w:shd w:val="clear" w:color="auto" w:fill="auto"/>
          </w:tcPr>
          <w:p w14:paraId="198CFB16" w14:textId="18A35CF6" w:rsidR="00F67BA2" w:rsidRPr="009A33E7" w:rsidRDefault="005B5F1B" w:rsidP="00BC6367">
            <w:pPr>
              <w:pStyle w:val="Header"/>
              <w:jc w:val="center"/>
              <w:rPr>
                <w:rFonts w:asciiTheme="minorHAnsi" w:hAnsiTheme="minorHAnsi" w:cs="Arial"/>
                <w:b/>
                <w:szCs w:val="18"/>
              </w:rPr>
            </w:pPr>
            <w:r>
              <w:rPr>
                <w:rFonts w:asciiTheme="minorHAnsi" w:hAnsiTheme="minorHAnsi" w:cs="Arial"/>
                <w:szCs w:val="18"/>
              </w:rPr>
              <w:t>HPA / DER</w:t>
            </w:r>
          </w:p>
        </w:tc>
        <w:tc>
          <w:tcPr>
            <w:tcW w:w="1134" w:type="dxa"/>
            <w:shd w:val="clear" w:color="auto" w:fill="auto"/>
          </w:tcPr>
          <w:p w14:paraId="508944A5" w14:textId="711358E9" w:rsidR="00F67BA2" w:rsidRPr="009A33E7" w:rsidRDefault="005B5F1B" w:rsidP="00BC6367">
            <w:pPr>
              <w:pStyle w:val="Header"/>
              <w:jc w:val="center"/>
              <w:rPr>
                <w:rFonts w:asciiTheme="minorHAnsi" w:hAnsiTheme="minorHAnsi" w:cs="Arial"/>
                <w:szCs w:val="18"/>
              </w:rPr>
            </w:pPr>
            <w:r>
              <w:rPr>
                <w:rFonts w:asciiTheme="minorHAnsi" w:hAnsiTheme="minorHAnsi" w:cs="Arial"/>
                <w:szCs w:val="18"/>
              </w:rPr>
              <w:t>2</w:t>
            </w:r>
            <w:r w:rsidRPr="005B5F1B">
              <w:rPr>
                <w:rFonts w:asciiTheme="minorHAnsi" w:hAnsiTheme="minorHAnsi" w:cs="Arial"/>
                <w:szCs w:val="18"/>
                <w:vertAlign w:val="superscript"/>
              </w:rPr>
              <w:t>nd</w:t>
            </w:r>
            <w:r>
              <w:rPr>
                <w:rFonts w:asciiTheme="minorHAnsi" w:hAnsiTheme="minorHAnsi" w:cs="Arial"/>
                <w:szCs w:val="18"/>
              </w:rPr>
              <w:t xml:space="preserve"> Quarter 2024</w:t>
            </w:r>
          </w:p>
        </w:tc>
        <w:tc>
          <w:tcPr>
            <w:tcW w:w="1495" w:type="dxa"/>
            <w:shd w:val="clear" w:color="auto" w:fill="auto"/>
          </w:tcPr>
          <w:p w14:paraId="3D1B5CFC" w14:textId="5620FE68" w:rsidR="00F67BA2" w:rsidRPr="009A33E7" w:rsidRDefault="005B5F1B" w:rsidP="00B742A1">
            <w:pPr>
              <w:pStyle w:val="Header"/>
              <w:jc w:val="both"/>
              <w:rPr>
                <w:rFonts w:asciiTheme="minorHAnsi" w:hAnsiTheme="minorHAnsi" w:cs="Arial"/>
                <w:szCs w:val="18"/>
              </w:rPr>
            </w:pPr>
            <w:r>
              <w:rPr>
                <w:rFonts w:asciiTheme="minorHAnsi" w:hAnsiTheme="minorHAnsi" w:cs="Arial"/>
                <w:szCs w:val="18"/>
              </w:rPr>
              <w:t>On-going</w:t>
            </w:r>
          </w:p>
        </w:tc>
      </w:tr>
      <w:tr w:rsidR="00B742A1" w:rsidRPr="008141C5" w14:paraId="2EAAD1EC" w14:textId="77777777" w:rsidTr="005B5F1B">
        <w:tc>
          <w:tcPr>
            <w:tcW w:w="1271" w:type="dxa"/>
            <w:shd w:val="clear" w:color="auto" w:fill="auto"/>
          </w:tcPr>
          <w:p w14:paraId="524D9FF6" w14:textId="347DA8D2" w:rsidR="00F67BA2" w:rsidRPr="009A33E7" w:rsidRDefault="005B5F1B" w:rsidP="005B5F1B">
            <w:pPr>
              <w:pStyle w:val="Header"/>
              <w:rPr>
                <w:rFonts w:asciiTheme="minorHAnsi" w:hAnsiTheme="minorHAnsi" w:cs="Arial"/>
                <w:szCs w:val="18"/>
              </w:rPr>
            </w:pPr>
            <w:r>
              <w:rPr>
                <w:rFonts w:asciiTheme="minorHAnsi" w:hAnsiTheme="minorHAnsi" w:cs="Arial"/>
                <w:szCs w:val="18"/>
              </w:rPr>
              <w:t>ICT</w:t>
            </w:r>
          </w:p>
        </w:tc>
        <w:tc>
          <w:tcPr>
            <w:tcW w:w="1559" w:type="dxa"/>
          </w:tcPr>
          <w:p w14:paraId="44CDACE4" w14:textId="53177FB7" w:rsidR="00F67BA2" w:rsidRPr="009A33E7" w:rsidRDefault="005B5F1B" w:rsidP="00BC6367">
            <w:pPr>
              <w:pStyle w:val="Header"/>
              <w:rPr>
                <w:rFonts w:asciiTheme="minorHAnsi" w:hAnsiTheme="minorHAnsi" w:cs="Arial"/>
                <w:szCs w:val="18"/>
              </w:rPr>
            </w:pPr>
            <w:r>
              <w:rPr>
                <w:rFonts w:asciiTheme="minorHAnsi" w:hAnsiTheme="minorHAnsi" w:cs="Arial"/>
                <w:szCs w:val="18"/>
              </w:rPr>
              <w:t>Strategy</w:t>
            </w:r>
          </w:p>
        </w:tc>
        <w:tc>
          <w:tcPr>
            <w:tcW w:w="3261" w:type="dxa"/>
            <w:shd w:val="clear" w:color="auto" w:fill="auto"/>
          </w:tcPr>
          <w:p w14:paraId="6125C608" w14:textId="77777777" w:rsidR="00F67BA2" w:rsidRDefault="00F67BA2" w:rsidP="00BC6367">
            <w:pPr>
              <w:pStyle w:val="Header"/>
              <w:rPr>
                <w:rFonts w:asciiTheme="minorHAnsi" w:hAnsiTheme="minorHAnsi" w:cs="Arial"/>
                <w:szCs w:val="18"/>
              </w:rPr>
            </w:pPr>
            <w:r w:rsidRPr="009A33E7">
              <w:rPr>
                <w:rFonts w:asciiTheme="minorHAnsi" w:hAnsiTheme="minorHAnsi" w:cs="Arial"/>
                <w:szCs w:val="18"/>
              </w:rPr>
              <w:t>Re</w:t>
            </w:r>
            <w:r w:rsidR="005B5F1B">
              <w:rPr>
                <w:rFonts w:asciiTheme="minorHAnsi" w:hAnsiTheme="minorHAnsi" w:cs="Arial"/>
                <w:szCs w:val="18"/>
              </w:rPr>
              <w:t>fresh Council Digital Strategy 2021-2024</w:t>
            </w:r>
          </w:p>
          <w:p w14:paraId="06FE8BE5" w14:textId="1BCE5E56" w:rsidR="005B5F1B" w:rsidRPr="009A33E7" w:rsidRDefault="005B5F1B" w:rsidP="00BC6367">
            <w:pPr>
              <w:pStyle w:val="Header"/>
              <w:rPr>
                <w:rFonts w:asciiTheme="minorHAnsi" w:hAnsiTheme="minorHAnsi" w:cs="Arial"/>
                <w:szCs w:val="18"/>
              </w:rPr>
            </w:pPr>
          </w:p>
        </w:tc>
        <w:tc>
          <w:tcPr>
            <w:tcW w:w="1134" w:type="dxa"/>
            <w:shd w:val="clear" w:color="auto" w:fill="auto"/>
          </w:tcPr>
          <w:p w14:paraId="6E497667" w14:textId="638F1E16" w:rsidR="00F67BA2" w:rsidRPr="009A33E7" w:rsidRDefault="005B5F1B" w:rsidP="00BC6367">
            <w:pPr>
              <w:pStyle w:val="Header"/>
              <w:jc w:val="center"/>
              <w:rPr>
                <w:rFonts w:asciiTheme="minorHAnsi" w:hAnsiTheme="minorHAnsi" w:cs="Arial"/>
                <w:b/>
                <w:szCs w:val="18"/>
              </w:rPr>
            </w:pPr>
            <w:r>
              <w:rPr>
                <w:rFonts w:asciiTheme="minorHAnsi" w:hAnsiTheme="minorHAnsi" w:cs="Arial"/>
                <w:szCs w:val="18"/>
              </w:rPr>
              <w:t>HLDDCS</w:t>
            </w:r>
          </w:p>
        </w:tc>
        <w:tc>
          <w:tcPr>
            <w:tcW w:w="1134" w:type="dxa"/>
            <w:shd w:val="clear" w:color="auto" w:fill="auto"/>
          </w:tcPr>
          <w:p w14:paraId="13503FB0" w14:textId="41FA1159" w:rsidR="00F67BA2" w:rsidRPr="009A33E7" w:rsidRDefault="005B5F1B" w:rsidP="00BC6367">
            <w:pPr>
              <w:pStyle w:val="Header"/>
              <w:jc w:val="center"/>
              <w:rPr>
                <w:rFonts w:asciiTheme="minorHAnsi" w:hAnsiTheme="minorHAnsi" w:cs="Arial"/>
                <w:szCs w:val="18"/>
              </w:rPr>
            </w:pPr>
            <w:r>
              <w:rPr>
                <w:rFonts w:asciiTheme="minorHAnsi" w:hAnsiTheme="minorHAnsi" w:cs="Arial"/>
                <w:szCs w:val="18"/>
              </w:rPr>
              <w:t>2024/25</w:t>
            </w:r>
          </w:p>
        </w:tc>
        <w:tc>
          <w:tcPr>
            <w:tcW w:w="1495" w:type="dxa"/>
            <w:shd w:val="clear" w:color="auto" w:fill="auto"/>
          </w:tcPr>
          <w:p w14:paraId="08A7F691" w14:textId="2370E26F" w:rsidR="00F67BA2" w:rsidRPr="009A33E7" w:rsidRDefault="005B5F1B" w:rsidP="00B742A1">
            <w:pPr>
              <w:pStyle w:val="Header"/>
              <w:jc w:val="both"/>
              <w:rPr>
                <w:rFonts w:asciiTheme="minorHAnsi" w:hAnsiTheme="minorHAnsi" w:cs="Arial"/>
                <w:szCs w:val="18"/>
              </w:rPr>
            </w:pPr>
            <w:r>
              <w:rPr>
                <w:rFonts w:asciiTheme="minorHAnsi" w:hAnsiTheme="minorHAnsi" w:cs="Arial"/>
                <w:szCs w:val="18"/>
              </w:rPr>
              <w:t>On-going</w:t>
            </w:r>
          </w:p>
        </w:tc>
      </w:tr>
    </w:tbl>
    <w:p w14:paraId="32290A8D" w14:textId="77777777" w:rsidR="005B5F1B" w:rsidRDefault="005B5F1B" w:rsidP="009A33E7">
      <w:pPr>
        <w:pStyle w:val="Header"/>
        <w:rPr>
          <w:rFonts w:asciiTheme="minorHAnsi" w:hAnsiTheme="minorHAnsi" w:cs="Arial"/>
          <w:szCs w:val="18"/>
        </w:rPr>
      </w:pPr>
    </w:p>
    <w:p w14:paraId="426EDF07" w14:textId="0AC7E857" w:rsidR="009A33E7" w:rsidRPr="009A33E7" w:rsidRDefault="009A33E7" w:rsidP="009A33E7">
      <w:pPr>
        <w:pStyle w:val="Header"/>
        <w:rPr>
          <w:rFonts w:asciiTheme="minorHAnsi" w:hAnsiTheme="minorHAnsi" w:cs="Arial"/>
          <w:szCs w:val="18"/>
        </w:rPr>
      </w:pPr>
      <w:r w:rsidRPr="009A33E7">
        <w:rPr>
          <w:rFonts w:asciiTheme="minorHAnsi" w:hAnsiTheme="minorHAnsi" w:cs="Arial"/>
          <w:szCs w:val="18"/>
        </w:rPr>
        <w:t>ECOD</w:t>
      </w:r>
      <w:r>
        <w:rPr>
          <w:rFonts w:asciiTheme="minorHAnsi" w:hAnsiTheme="minorHAnsi" w:cs="Arial"/>
          <w:szCs w:val="18"/>
        </w:rPr>
        <w:t xml:space="preserve"> - </w:t>
      </w:r>
      <w:r w:rsidRPr="009A33E7">
        <w:rPr>
          <w:rFonts w:asciiTheme="minorHAnsi" w:hAnsiTheme="minorHAnsi" w:cs="Arial"/>
          <w:szCs w:val="18"/>
        </w:rPr>
        <w:t>Corporate Director Education, Communities and Organisational Development</w:t>
      </w:r>
    </w:p>
    <w:p w14:paraId="326ED9B9" w14:textId="0E573268" w:rsidR="009A33E7" w:rsidRPr="009A33E7" w:rsidRDefault="005B5F1B" w:rsidP="009A33E7">
      <w:pPr>
        <w:pStyle w:val="Header"/>
        <w:rPr>
          <w:rFonts w:asciiTheme="minorHAnsi" w:hAnsiTheme="minorHAnsi" w:cs="Arial"/>
          <w:szCs w:val="18"/>
        </w:rPr>
      </w:pPr>
      <w:r>
        <w:rPr>
          <w:rFonts w:asciiTheme="minorHAnsi" w:hAnsiTheme="minorHAnsi" w:cs="Arial"/>
          <w:szCs w:val="18"/>
        </w:rPr>
        <w:t>HLDDCS – Head of Legal, Democratic, Digital &amp; Customer Services</w:t>
      </w:r>
    </w:p>
    <w:p w14:paraId="61A3614D" w14:textId="2A35E510" w:rsidR="009A33E7" w:rsidRPr="009A33E7" w:rsidRDefault="005B5F1B" w:rsidP="009A33E7">
      <w:pPr>
        <w:pStyle w:val="Header"/>
        <w:rPr>
          <w:rFonts w:asciiTheme="minorHAnsi" w:hAnsiTheme="minorHAnsi" w:cs="Arial"/>
          <w:szCs w:val="18"/>
        </w:rPr>
      </w:pPr>
      <w:r>
        <w:rPr>
          <w:rFonts w:asciiTheme="minorHAnsi" w:hAnsiTheme="minorHAnsi" w:cs="Arial"/>
          <w:szCs w:val="18"/>
        </w:rPr>
        <w:t>DER</w:t>
      </w:r>
      <w:r w:rsidR="009A33E7">
        <w:rPr>
          <w:rFonts w:asciiTheme="minorHAnsi" w:hAnsiTheme="minorHAnsi" w:cs="Arial"/>
          <w:szCs w:val="18"/>
        </w:rPr>
        <w:t xml:space="preserve"> </w:t>
      </w:r>
      <w:r w:rsidR="009A33E7" w:rsidRPr="009A33E7">
        <w:rPr>
          <w:rFonts w:asciiTheme="minorHAnsi" w:hAnsiTheme="minorHAnsi" w:cs="Arial"/>
          <w:szCs w:val="18"/>
        </w:rPr>
        <w:t xml:space="preserve">– </w:t>
      </w:r>
      <w:r>
        <w:rPr>
          <w:rFonts w:asciiTheme="minorHAnsi" w:hAnsiTheme="minorHAnsi" w:cs="Arial"/>
          <w:szCs w:val="18"/>
        </w:rPr>
        <w:t>Director Environment and Regeneration</w:t>
      </w:r>
    </w:p>
    <w:p w14:paraId="53D8B1AB" w14:textId="75CF85F5" w:rsidR="009A33E7" w:rsidRPr="009A33E7" w:rsidRDefault="00B67BE4" w:rsidP="009A33E7">
      <w:pPr>
        <w:pStyle w:val="Header"/>
        <w:rPr>
          <w:rFonts w:asciiTheme="minorHAnsi" w:hAnsiTheme="minorHAnsi" w:cs="Arial"/>
          <w:szCs w:val="18"/>
        </w:rPr>
      </w:pPr>
      <w:r>
        <w:rPr>
          <w:rFonts w:asciiTheme="minorHAnsi" w:hAnsiTheme="minorHAnsi" w:cs="Arial"/>
          <w:szCs w:val="18"/>
        </w:rPr>
        <w:t>HPA</w:t>
      </w:r>
      <w:r w:rsidR="009A33E7" w:rsidRPr="009A33E7">
        <w:rPr>
          <w:rFonts w:asciiTheme="minorHAnsi" w:hAnsiTheme="minorHAnsi" w:cs="Arial"/>
          <w:szCs w:val="18"/>
        </w:rPr>
        <w:t xml:space="preserve"> – Head of </w:t>
      </w:r>
      <w:r>
        <w:rPr>
          <w:rFonts w:asciiTheme="minorHAnsi" w:hAnsiTheme="minorHAnsi" w:cs="Arial"/>
          <w:szCs w:val="18"/>
        </w:rPr>
        <w:t>Physical Assets</w:t>
      </w:r>
    </w:p>
    <w:p w14:paraId="5B72815E" w14:textId="40691942" w:rsidR="009A33E7" w:rsidRPr="009A33E7" w:rsidRDefault="009A33E7" w:rsidP="009A33E7">
      <w:pPr>
        <w:spacing w:after="200" w:line="276" w:lineRule="auto"/>
        <w:rPr>
          <w:rFonts w:asciiTheme="minorHAnsi" w:eastAsiaTheme="majorEastAsia" w:hAnsiTheme="minorHAnsi" w:cstheme="majorBidi"/>
          <w:b/>
          <w:bCs/>
        </w:rPr>
      </w:pPr>
    </w:p>
    <w:sectPr w:rsidR="009A33E7" w:rsidRPr="009A33E7" w:rsidSect="00A11384">
      <w:headerReference w:type="even" r:id="rId22"/>
      <w:headerReference w:type="default" r:id="rId23"/>
      <w:footerReference w:type="default" r:id="rId24"/>
      <w:headerReference w:type="first" r:id="rId25"/>
      <w:footerReference w:type="first" r:id="rId26"/>
      <w:pgSz w:w="11906" w:h="16838" w:code="9"/>
      <w:pgMar w:top="2835" w:right="1021" w:bottom="1134" w:left="1021" w:header="992" w:footer="5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A7F6A" w14:textId="77777777" w:rsidR="00A11384" w:rsidRPr="00467555" w:rsidRDefault="00A11384" w:rsidP="0056669A">
      <w:pPr>
        <w:spacing w:after="0"/>
      </w:pPr>
      <w:r w:rsidRPr="00467555">
        <w:separator/>
      </w:r>
    </w:p>
  </w:endnote>
  <w:endnote w:type="continuationSeparator" w:id="0">
    <w:p w14:paraId="63A4DC34" w14:textId="77777777" w:rsidR="00A11384" w:rsidRPr="00467555" w:rsidRDefault="00A11384" w:rsidP="0056669A">
      <w:pPr>
        <w:spacing w:after="0"/>
      </w:pPr>
      <w:r w:rsidRPr="00467555">
        <w:continuationSeparator/>
      </w:r>
    </w:p>
  </w:endnote>
  <w:endnote w:type="continuationNotice" w:id="1">
    <w:p w14:paraId="1A727560" w14:textId="77777777" w:rsidR="00A11384" w:rsidRDefault="00A113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EEBEF" w14:textId="295CB752" w:rsidR="00F60FB5" w:rsidRPr="00467555" w:rsidRDefault="00F60FB5" w:rsidP="00F60FB5">
    <w:pPr>
      <w:pStyle w:val="Footer"/>
      <w:tabs>
        <w:tab w:val="clear" w:pos="4513"/>
        <w:tab w:val="clear" w:pos="9026"/>
        <w:tab w:val="right" w:pos="9866"/>
      </w:tabs>
      <w:rPr>
        <w:color w:val="5E6A71"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4AE" w14:textId="77777777" w:rsidR="001F5A73" w:rsidRPr="00467555" w:rsidRDefault="001F5A73" w:rsidP="001F5A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EDB73" w14:textId="76A77961" w:rsidR="00467555" w:rsidRPr="00467555" w:rsidRDefault="00467555" w:rsidP="00F60FB5">
    <w:pPr>
      <w:pStyle w:val="Footer"/>
      <w:tabs>
        <w:tab w:val="clear" w:pos="4513"/>
        <w:tab w:val="clear" w:pos="9026"/>
        <w:tab w:val="right" w:pos="9866"/>
      </w:tabs>
      <w:rPr>
        <w:color w:val="5E6A71" w:themeColor="text2"/>
      </w:rPr>
    </w:pPr>
    <w:r w:rsidRPr="00467555">
      <w:tab/>
    </w:r>
    <w:r w:rsidRPr="00467555">
      <w:rPr>
        <w:color w:val="5E6A71" w:themeColor="text2"/>
      </w:rPr>
      <w:fldChar w:fldCharType="begin"/>
    </w:r>
    <w:r w:rsidRPr="00467555">
      <w:rPr>
        <w:color w:val="5E6A71" w:themeColor="text2"/>
      </w:rPr>
      <w:instrText xml:space="preserve"> PAGE  \# "00"  \* MERGEFORMAT </w:instrText>
    </w:r>
    <w:r w:rsidRPr="00467555">
      <w:rPr>
        <w:color w:val="5E6A71" w:themeColor="text2"/>
      </w:rPr>
      <w:fldChar w:fldCharType="separate"/>
    </w:r>
    <w:r w:rsidRPr="00467555">
      <w:rPr>
        <w:color w:val="5E6A71" w:themeColor="text2"/>
      </w:rPr>
      <w:t>01</w:t>
    </w:r>
    <w:r w:rsidRPr="00467555">
      <w:rPr>
        <w:color w:val="5E6A71"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4367F" w14:textId="77777777" w:rsidR="00467555" w:rsidRPr="00467555" w:rsidRDefault="00467555" w:rsidP="007A15B6">
    <w:pPr>
      <w:pStyle w:val="Disclaimer"/>
    </w:pPr>
  </w:p>
  <w:p w14:paraId="109B678D" w14:textId="32B17604" w:rsidR="00467555" w:rsidRPr="00467555" w:rsidRDefault="00AD2835" w:rsidP="007A15B6">
    <w:pPr>
      <w:pStyle w:val="Footer"/>
      <w:tabs>
        <w:tab w:val="clear" w:pos="4513"/>
        <w:tab w:val="clear" w:pos="9026"/>
        <w:tab w:val="right" w:pos="10348"/>
      </w:tabs>
      <w:rPr>
        <w:color w:val="5E6A71" w:themeColor="text2"/>
      </w:rPr>
    </w:pPr>
    <w:r>
      <w:fldChar w:fldCharType="begin"/>
    </w:r>
    <w:r>
      <w:instrText xml:space="preserve"> DOCPROPERTY  DocCreationDate  \* MERGEFORMAT </w:instrText>
    </w:r>
    <w:r>
      <w:fldChar w:fldCharType="separate"/>
    </w:r>
    <w:r w:rsidR="003F3D7E">
      <w:t>December 2023</w:t>
    </w:r>
    <w:r>
      <w:fldChar w:fldCharType="end"/>
    </w:r>
    <w:r w:rsidR="00467555" w:rsidRPr="00467555">
      <w:tab/>
    </w:r>
    <w:r w:rsidR="00467555" w:rsidRPr="00467555">
      <w:rPr>
        <w:b w:val="0"/>
      </w:rPr>
      <w:t>making the</w:t>
    </w:r>
    <w:r w:rsidR="00467555" w:rsidRPr="00467555">
      <w:t xml:space="preserve"> difference      </w:t>
    </w:r>
    <w:r w:rsidR="00467555" w:rsidRPr="00467555">
      <w:rPr>
        <w:color w:val="5E6A71" w:themeColor="text2"/>
      </w:rPr>
      <w:fldChar w:fldCharType="begin"/>
    </w:r>
    <w:r w:rsidR="00467555" w:rsidRPr="00467555">
      <w:rPr>
        <w:color w:val="5E6A71" w:themeColor="text2"/>
      </w:rPr>
      <w:instrText xml:space="preserve"> PAGE  \# "00"  \* MERGEFORMAT </w:instrText>
    </w:r>
    <w:r w:rsidR="00467555" w:rsidRPr="00467555">
      <w:rPr>
        <w:color w:val="5E6A71" w:themeColor="text2"/>
      </w:rPr>
      <w:fldChar w:fldCharType="separate"/>
    </w:r>
    <w:r w:rsidR="00467555" w:rsidRPr="00467555">
      <w:rPr>
        <w:color w:val="5E6A71" w:themeColor="text2"/>
      </w:rPr>
      <w:t>01</w:t>
    </w:r>
    <w:r w:rsidR="00467555" w:rsidRPr="00467555">
      <w:rPr>
        <w:color w:val="5E6A71" w:themeColor="text2"/>
      </w:rPr>
      <w:fldChar w:fldCharType="end"/>
    </w:r>
  </w:p>
  <w:p w14:paraId="34E055A7" w14:textId="75EC05EB" w:rsidR="00467555" w:rsidRPr="00467555" w:rsidRDefault="00467555" w:rsidP="007A15B6">
    <w:pPr>
      <w:pStyle w:val="FilePathinFooter"/>
      <w:rPr>
        <w:szCs w:val="10"/>
      </w:rPr>
    </w:pPr>
    <w:r w:rsidRPr="00467555">
      <w:rPr>
        <w:szCs w:val="10"/>
      </w:rPr>
      <w:fldChar w:fldCharType="begin"/>
    </w:r>
    <w:r w:rsidRPr="00467555">
      <w:rPr>
        <w:szCs w:val="10"/>
      </w:rPr>
      <w:instrText xml:space="preserve"> FILENAME  \* Upper \p  \* MERGEFORMAT </w:instrText>
    </w:r>
    <w:r w:rsidRPr="00467555">
      <w:rPr>
        <w:szCs w:val="10"/>
      </w:rPr>
      <w:fldChar w:fldCharType="separate"/>
    </w:r>
    <w:r w:rsidR="003F3D7E">
      <w:rPr>
        <w:caps w:val="0"/>
        <w:noProof/>
        <w:szCs w:val="10"/>
      </w:rPr>
      <w:t>HTTPS://TURNTOWN.SHAREPOINT.COM/SITES/BU-UK-SUSTAINABILITY/SHARED DOCUMENTS/RETROFIT AND HOUSING/02_RH PROJECTS/INVERCLYDE COUNCIL/LHEES/300_REPORTING/DELIVERY PLAN DRAFT/INVERLCYDE LHEEDP V0.4 (COMMITTE UPDATED DRAFT) COMPARED CHANGES.DOCX</w:t>
    </w:r>
    <w:r w:rsidRPr="00467555">
      <w:rPr>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BD624" w14:textId="77777777" w:rsidR="00A11384" w:rsidRPr="00467555" w:rsidRDefault="00A11384" w:rsidP="0056669A">
      <w:pPr>
        <w:spacing w:after="0"/>
      </w:pPr>
      <w:r w:rsidRPr="00467555">
        <w:separator/>
      </w:r>
    </w:p>
  </w:footnote>
  <w:footnote w:type="continuationSeparator" w:id="0">
    <w:p w14:paraId="7F886CA2" w14:textId="77777777" w:rsidR="00A11384" w:rsidRPr="00467555" w:rsidRDefault="00A11384" w:rsidP="0056669A">
      <w:pPr>
        <w:spacing w:after="0"/>
      </w:pPr>
      <w:r w:rsidRPr="00467555">
        <w:continuationSeparator/>
      </w:r>
    </w:p>
  </w:footnote>
  <w:footnote w:type="continuationNotice" w:id="1">
    <w:p w14:paraId="6E052184" w14:textId="77777777" w:rsidR="00A11384" w:rsidRDefault="00A11384">
      <w:pPr>
        <w:spacing w:after="0"/>
      </w:pPr>
    </w:p>
  </w:footnote>
  <w:footnote w:id="2">
    <w:p w14:paraId="6C8028B0" w14:textId="6CEAD340" w:rsidR="00727D7B" w:rsidRPr="0004723A" w:rsidRDefault="00727D7B" w:rsidP="00727D7B">
      <w:pPr>
        <w:pStyle w:val="FootnoteText"/>
        <w:rPr>
          <w:lang w:val="en-US"/>
        </w:rPr>
      </w:pPr>
      <w:r>
        <w:rPr>
          <w:rStyle w:val="FootnoteReference"/>
        </w:rPr>
        <w:footnoteRef/>
      </w:r>
      <w:r>
        <w:t xml:space="preserve"> </w:t>
      </w:r>
      <w:r>
        <w:rPr>
          <w:sz w:val="16"/>
          <w:szCs w:val="16"/>
        </w:rPr>
        <w:t xml:space="preserve">Inverclyde </w:t>
      </w:r>
      <w:r w:rsidR="0060689C">
        <w:rPr>
          <w:sz w:val="16"/>
          <w:szCs w:val="16"/>
        </w:rPr>
        <w:t xml:space="preserve">Alliance </w:t>
      </w:r>
      <w:r>
        <w:rPr>
          <w:sz w:val="16"/>
          <w:szCs w:val="16"/>
        </w:rPr>
        <w:t>Partnership Plan (</w:t>
      </w:r>
      <w:hyperlink r:id="rId1" w:history="1">
        <w:r w:rsidRPr="00C63ECE">
          <w:rPr>
            <w:rStyle w:val="Hyperlink"/>
            <w:sz w:val="16"/>
            <w:szCs w:val="16"/>
          </w:rPr>
          <w:t>link</w:t>
        </w:r>
      </w:hyperlink>
      <w:r>
        <w:rPr>
          <w:sz w:val="16"/>
          <w:szCs w:val="16"/>
        </w:rPr>
        <w:t>)</w:t>
      </w:r>
    </w:p>
  </w:footnote>
  <w:footnote w:id="3">
    <w:p w14:paraId="29683A10" w14:textId="187937BB" w:rsidR="00727D7B" w:rsidRPr="0004723A" w:rsidRDefault="00727D7B" w:rsidP="00727D7B">
      <w:pPr>
        <w:pStyle w:val="FootnoteText"/>
        <w:rPr>
          <w:lang w:val="en-US"/>
        </w:rPr>
      </w:pPr>
      <w:r>
        <w:rPr>
          <w:rStyle w:val="FootnoteReference"/>
        </w:rPr>
        <w:footnoteRef/>
      </w:r>
      <w:r>
        <w:t xml:space="preserve"> </w:t>
      </w:r>
      <w:r w:rsidR="0060689C">
        <w:rPr>
          <w:sz w:val="16"/>
          <w:szCs w:val="16"/>
        </w:rPr>
        <w:t>Inverclyde Council Plan</w:t>
      </w:r>
      <w:r>
        <w:rPr>
          <w:sz w:val="16"/>
          <w:szCs w:val="16"/>
        </w:rPr>
        <w:t xml:space="preserve"> (</w:t>
      </w:r>
      <w:hyperlink r:id="rId2" w:history="1">
        <w:r w:rsidRPr="00C63ECE">
          <w:rPr>
            <w:rStyle w:val="Hyperlink"/>
            <w:sz w:val="16"/>
            <w:szCs w:val="16"/>
          </w:rPr>
          <w:t>link</w:t>
        </w:r>
      </w:hyperlink>
      <w:r>
        <w:rPr>
          <w:sz w:val="16"/>
          <w:szCs w:val="16"/>
        </w:rPr>
        <w:t>)</w:t>
      </w:r>
    </w:p>
  </w:footnote>
  <w:footnote w:id="4">
    <w:p w14:paraId="400EA6F9" w14:textId="0679CE8E" w:rsidR="00F30C24" w:rsidRPr="0004723A" w:rsidRDefault="00F30C24" w:rsidP="00F30C24">
      <w:pPr>
        <w:pStyle w:val="FootnoteText"/>
        <w:rPr>
          <w:lang w:val="en-US"/>
        </w:rPr>
      </w:pPr>
      <w:r>
        <w:rPr>
          <w:rStyle w:val="FootnoteReference"/>
        </w:rPr>
        <w:footnoteRef/>
      </w:r>
      <w:r>
        <w:t xml:space="preserve"> </w:t>
      </w:r>
      <w:r w:rsidRPr="00F30C24">
        <w:rPr>
          <w:sz w:val="16"/>
          <w:szCs w:val="16"/>
        </w:rPr>
        <w:t>Education and Communities Committee Delivery and Improvement Plan</w:t>
      </w:r>
      <w:r>
        <w:rPr>
          <w:sz w:val="16"/>
          <w:szCs w:val="16"/>
        </w:rPr>
        <w:t xml:space="preserve"> (</w:t>
      </w:r>
      <w:hyperlink r:id="rId3" w:history="1">
        <w:r w:rsidRPr="00C63ECE">
          <w:rPr>
            <w:rStyle w:val="Hyperlink"/>
            <w:sz w:val="16"/>
            <w:szCs w:val="16"/>
          </w:rPr>
          <w:t>link</w:t>
        </w:r>
      </w:hyperlink>
      <w:r>
        <w:rPr>
          <w:sz w:val="16"/>
          <w:szCs w:val="16"/>
        </w:rPr>
        <w:t xml:space="preserve">); </w:t>
      </w:r>
      <w:r w:rsidRPr="00F30C24">
        <w:rPr>
          <w:sz w:val="16"/>
          <w:szCs w:val="16"/>
        </w:rPr>
        <w:t>Environment and Regeneration Committee Delivery and Improvement Plan</w:t>
      </w:r>
      <w:r>
        <w:rPr>
          <w:sz w:val="16"/>
          <w:szCs w:val="16"/>
        </w:rPr>
        <w:t xml:space="preserve"> (</w:t>
      </w:r>
      <w:hyperlink r:id="rId4" w:history="1">
        <w:r w:rsidRPr="00C63ECE">
          <w:rPr>
            <w:rStyle w:val="Hyperlink"/>
            <w:sz w:val="16"/>
            <w:szCs w:val="16"/>
          </w:rPr>
          <w:t>link</w:t>
        </w:r>
      </w:hyperlink>
      <w:r>
        <w:rPr>
          <w:sz w:val="16"/>
          <w:szCs w:val="16"/>
        </w:rPr>
        <w:t xml:space="preserve">); </w:t>
      </w:r>
      <w:r w:rsidRPr="00F30C24">
        <w:rPr>
          <w:sz w:val="16"/>
          <w:szCs w:val="16"/>
        </w:rPr>
        <w:t>Policy and Resources Committee Delivery and Improvement Plan</w:t>
      </w:r>
      <w:r>
        <w:rPr>
          <w:sz w:val="16"/>
          <w:szCs w:val="16"/>
        </w:rPr>
        <w:t xml:space="preserve"> (</w:t>
      </w:r>
      <w:hyperlink r:id="rId5" w:history="1">
        <w:r w:rsidRPr="00C63ECE">
          <w:rPr>
            <w:rStyle w:val="Hyperlink"/>
            <w:sz w:val="16"/>
            <w:szCs w:val="16"/>
          </w:rPr>
          <w:t>link</w:t>
        </w:r>
      </w:hyperlink>
      <w:r>
        <w:rPr>
          <w:sz w:val="16"/>
          <w:szCs w:val="16"/>
        </w:rPr>
        <w:t>)</w:t>
      </w:r>
    </w:p>
  </w:footnote>
  <w:footnote w:id="5">
    <w:p w14:paraId="50E6C2D6" w14:textId="4AC42C0D" w:rsidR="00666E72" w:rsidRPr="000F1A4F" w:rsidRDefault="00666E72" w:rsidP="000F1A4F">
      <w:pPr>
        <w:pStyle w:val="FootnoteText"/>
        <w:rPr>
          <w:sz w:val="16"/>
          <w:szCs w:val="16"/>
        </w:rPr>
      </w:pPr>
      <w:r>
        <w:rPr>
          <w:rStyle w:val="FootnoteReference"/>
        </w:rPr>
        <w:footnoteRef/>
      </w:r>
      <w:r>
        <w:t xml:space="preserve"> </w:t>
      </w:r>
      <w:r>
        <w:rPr>
          <w:sz w:val="16"/>
          <w:szCs w:val="16"/>
        </w:rPr>
        <w:t>Capital Strategy 2024-2034</w:t>
      </w:r>
      <w:r w:rsidR="000F1A4F">
        <w:rPr>
          <w:sz w:val="16"/>
          <w:szCs w:val="16"/>
        </w:rPr>
        <w:t xml:space="preserve"> </w:t>
      </w:r>
      <w:r w:rsidR="000F1A4F" w:rsidRPr="000F1A4F">
        <w:rPr>
          <w:sz w:val="16"/>
          <w:szCs w:val="16"/>
        </w:rPr>
        <w:t>and Treasury Management Strategy Statement &amp; Annual Investment Strategy 2024/25-2027/28</w:t>
      </w:r>
      <w:r>
        <w:rPr>
          <w:sz w:val="16"/>
          <w:szCs w:val="16"/>
        </w:rPr>
        <w:t xml:space="preserve"> (</w:t>
      </w:r>
      <w:hyperlink r:id="rId6" w:history="1">
        <w:r w:rsidRPr="00C63ECE">
          <w:rPr>
            <w:rStyle w:val="Hyperlink"/>
            <w:sz w:val="16"/>
            <w:szCs w:val="16"/>
          </w:rPr>
          <w:t>link</w:t>
        </w:r>
      </w:hyperlink>
      <w:r>
        <w:rPr>
          <w:sz w:val="16"/>
          <w:szCs w:val="16"/>
        </w:rPr>
        <w:t>)</w:t>
      </w:r>
    </w:p>
  </w:footnote>
  <w:footnote w:id="6">
    <w:p w14:paraId="7BC06A8E" w14:textId="65390363" w:rsidR="00666E72" w:rsidRPr="0004723A" w:rsidRDefault="00666E72" w:rsidP="00666E72">
      <w:pPr>
        <w:pStyle w:val="FootnoteText"/>
        <w:rPr>
          <w:lang w:val="en-US"/>
        </w:rPr>
      </w:pPr>
      <w:r>
        <w:rPr>
          <w:rStyle w:val="FootnoteReference"/>
        </w:rPr>
        <w:footnoteRef/>
      </w:r>
      <w:r>
        <w:t xml:space="preserve"> </w:t>
      </w:r>
      <w:r>
        <w:rPr>
          <w:sz w:val="16"/>
          <w:szCs w:val="16"/>
        </w:rPr>
        <w:t>Financial Strategy 2023-2033 (</w:t>
      </w:r>
      <w:hyperlink r:id="rId7" w:history="1">
        <w:r w:rsidRPr="00C63ECE">
          <w:rPr>
            <w:rStyle w:val="Hyperlink"/>
            <w:sz w:val="16"/>
            <w:szCs w:val="16"/>
          </w:rPr>
          <w:t>link</w:t>
        </w:r>
      </w:hyperlink>
      <w:r>
        <w:rPr>
          <w:sz w:val="16"/>
          <w:szCs w:val="16"/>
        </w:rPr>
        <w:t>)</w:t>
      </w:r>
    </w:p>
  </w:footnote>
  <w:footnote w:id="7">
    <w:p w14:paraId="413D599A" w14:textId="7AC1A5BE" w:rsidR="00687D82" w:rsidRPr="0004723A" w:rsidRDefault="00687D82" w:rsidP="00687D82">
      <w:pPr>
        <w:pStyle w:val="FootnoteText"/>
        <w:rPr>
          <w:lang w:val="en-US"/>
        </w:rPr>
      </w:pPr>
      <w:r>
        <w:rPr>
          <w:rStyle w:val="FootnoteReference"/>
        </w:rPr>
        <w:footnoteRef/>
      </w:r>
      <w:r>
        <w:t xml:space="preserve"> </w:t>
      </w:r>
      <w:r>
        <w:rPr>
          <w:sz w:val="16"/>
          <w:szCs w:val="16"/>
        </w:rPr>
        <w:t>Fire Risk Assessment and Fire Safety Policy (</w:t>
      </w:r>
      <w:hyperlink r:id="rId8" w:history="1">
        <w:r w:rsidRPr="00C63ECE">
          <w:rPr>
            <w:rStyle w:val="Hyperlink"/>
            <w:sz w:val="16"/>
            <w:szCs w:val="16"/>
          </w:rPr>
          <w:t>link</w:t>
        </w:r>
      </w:hyperlink>
      <w:r>
        <w:rPr>
          <w:sz w:val="16"/>
          <w:szCs w:val="16"/>
        </w:rPr>
        <w:t>)</w:t>
      </w:r>
    </w:p>
  </w:footnote>
  <w:footnote w:id="8">
    <w:p w14:paraId="645E79CE" w14:textId="6CD0E550" w:rsidR="00687D82" w:rsidRPr="0004723A" w:rsidRDefault="00687D82" w:rsidP="00687D82">
      <w:pPr>
        <w:pStyle w:val="FootnoteText"/>
        <w:rPr>
          <w:lang w:val="en-US"/>
        </w:rPr>
      </w:pPr>
      <w:r>
        <w:rPr>
          <w:rStyle w:val="FootnoteReference"/>
        </w:rPr>
        <w:footnoteRef/>
      </w:r>
      <w:r>
        <w:t xml:space="preserve"> </w:t>
      </w:r>
      <w:r w:rsidR="00CA0790">
        <w:rPr>
          <w:sz w:val="16"/>
          <w:szCs w:val="16"/>
        </w:rPr>
        <w:t>Water Quality Management Policy</w:t>
      </w:r>
      <w:r>
        <w:rPr>
          <w:sz w:val="16"/>
          <w:szCs w:val="16"/>
        </w:rPr>
        <w:t xml:space="preserve"> (</w:t>
      </w:r>
      <w:hyperlink r:id="rId9" w:history="1">
        <w:r w:rsidRPr="00C63ECE">
          <w:rPr>
            <w:rStyle w:val="Hyperlink"/>
            <w:sz w:val="16"/>
            <w:szCs w:val="16"/>
          </w:rPr>
          <w:t>link</w:t>
        </w:r>
      </w:hyperlink>
      <w:r>
        <w:rPr>
          <w:sz w:val="16"/>
          <w:szCs w:val="16"/>
        </w:rPr>
        <w:t>)</w:t>
      </w:r>
    </w:p>
  </w:footnote>
  <w:footnote w:id="9">
    <w:p w14:paraId="4FB8999C" w14:textId="179FFD74" w:rsidR="00687D82" w:rsidRPr="0004723A" w:rsidRDefault="00687D82" w:rsidP="00687D82">
      <w:pPr>
        <w:pStyle w:val="FootnoteText"/>
        <w:rPr>
          <w:lang w:val="en-US"/>
        </w:rPr>
      </w:pPr>
      <w:r>
        <w:rPr>
          <w:rStyle w:val="FootnoteReference"/>
        </w:rPr>
        <w:footnoteRef/>
      </w:r>
      <w:r>
        <w:t xml:space="preserve"> </w:t>
      </w:r>
      <w:r w:rsidR="00CA0790">
        <w:rPr>
          <w:sz w:val="16"/>
          <w:szCs w:val="16"/>
        </w:rPr>
        <w:t>Control of Asbestos Policy</w:t>
      </w:r>
      <w:r>
        <w:rPr>
          <w:sz w:val="16"/>
          <w:szCs w:val="16"/>
        </w:rPr>
        <w:t xml:space="preserve"> (</w:t>
      </w:r>
      <w:hyperlink r:id="rId10" w:history="1">
        <w:r w:rsidRPr="00C63ECE">
          <w:rPr>
            <w:rStyle w:val="Hyperlink"/>
            <w:sz w:val="16"/>
            <w:szCs w:val="16"/>
          </w:rPr>
          <w:t>link</w:t>
        </w:r>
      </w:hyperlink>
      <w:r>
        <w:rPr>
          <w:sz w:val="16"/>
          <w:szCs w:val="16"/>
        </w:rPr>
        <w:t>)</w:t>
      </w:r>
    </w:p>
  </w:footnote>
  <w:footnote w:id="10">
    <w:p w14:paraId="212E5613" w14:textId="3BBC7979" w:rsidR="00CE4371" w:rsidRPr="0004723A" w:rsidRDefault="00CE4371" w:rsidP="00CE4371">
      <w:pPr>
        <w:pStyle w:val="FootnoteText"/>
        <w:rPr>
          <w:lang w:val="en-US"/>
        </w:rPr>
      </w:pPr>
      <w:r>
        <w:rPr>
          <w:rStyle w:val="FootnoteReference"/>
        </w:rPr>
        <w:footnoteRef/>
      </w:r>
      <w:r>
        <w:t xml:space="preserve"> </w:t>
      </w:r>
      <w:r>
        <w:rPr>
          <w:sz w:val="16"/>
          <w:szCs w:val="16"/>
        </w:rPr>
        <w:t>The Condition Core Fact (</w:t>
      </w:r>
      <w:hyperlink r:id="rId11" w:history="1">
        <w:r w:rsidRPr="00C63ECE">
          <w:rPr>
            <w:rStyle w:val="Hyperlink"/>
            <w:sz w:val="16"/>
            <w:szCs w:val="16"/>
          </w:rPr>
          <w:t>link</w:t>
        </w:r>
      </w:hyperlink>
      <w:r>
        <w:rPr>
          <w:sz w:val="16"/>
          <w:szCs w:val="16"/>
        </w:rPr>
        <w:t>)</w:t>
      </w:r>
    </w:p>
  </w:footnote>
  <w:footnote w:id="11">
    <w:p w14:paraId="08F41896" w14:textId="1073D201" w:rsidR="00CE4371" w:rsidRPr="0004723A" w:rsidRDefault="00CE4371" w:rsidP="00CE4371">
      <w:pPr>
        <w:pStyle w:val="FootnoteText"/>
        <w:rPr>
          <w:lang w:val="en-US"/>
        </w:rPr>
      </w:pPr>
      <w:r>
        <w:rPr>
          <w:rStyle w:val="FootnoteReference"/>
        </w:rPr>
        <w:footnoteRef/>
      </w:r>
      <w:r>
        <w:t xml:space="preserve"> </w:t>
      </w:r>
      <w:r>
        <w:rPr>
          <w:sz w:val="16"/>
          <w:szCs w:val="16"/>
        </w:rPr>
        <w:t>The Suitability Core Fact (</w:t>
      </w:r>
      <w:hyperlink r:id="rId12" w:history="1">
        <w:r w:rsidRPr="00C63ECE">
          <w:rPr>
            <w:rStyle w:val="Hyperlink"/>
            <w:sz w:val="16"/>
            <w:szCs w:val="16"/>
          </w:rPr>
          <w:t>link</w:t>
        </w:r>
      </w:hyperlink>
      <w:r>
        <w:rPr>
          <w:sz w:val="16"/>
          <w:szCs w:val="16"/>
        </w:rPr>
        <w:t>)</w:t>
      </w:r>
    </w:p>
  </w:footnote>
  <w:footnote w:id="12">
    <w:p w14:paraId="6416E699" w14:textId="0402D590" w:rsidR="00F068E5" w:rsidRPr="0004723A" w:rsidRDefault="00F068E5" w:rsidP="00F068E5">
      <w:pPr>
        <w:pStyle w:val="FootnoteText"/>
        <w:rPr>
          <w:lang w:val="en-US"/>
        </w:rPr>
      </w:pPr>
      <w:r>
        <w:rPr>
          <w:rStyle w:val="FootnoteReference"/>
        </w:rPr>
        <w:footnoteRef/>
      </w:r>
      <w:r>
        <w:t xml:space="preserve"> </w:t>
      </w:r>
      <w:r>
        <w:rPr>
          <w:sz w:val="16"/>
          <w:szCs w:val="16"/>
        </w:rPr>
        <w:t>Inverclyde Council Performance Management Framework (</w:t>
      </w:r>
      <w:hyperlink r:id="rId13" w:history="1">
        <w:r w:rsidRPr="00C63ECE">
          <w:rPr>
            <w:rStyle w:val="Hyperlink"/>
            <w:sz w:val="16"/>
            <w:szCs w:val="16"/>
          </w:rPr>
          <w:t>link</w:t>
        </w:r>
      </w:hyperlink>
      <w:r>
        <w:rPr>
          <w:sz w:val="16"/>
          <w:szCs w:val="16"/>
        </w:rPr>
        <w:t>)</w:t>
      </w:r>
    </w:p>
  </w:footnote>
  <w:footnote w:id="13">
    <w:p w14:paraId="6DA2B17C" w14:textId="0ADCD8BB" w:rsidR="00D454C5" w:rsidRPr="0004723A" w:rsidRDefault="00D454C5" w:rsidP="00D454C5">
      <w:pPr>
        <w:pStyle w:val="FootnoteText"/>
        <w:rPr>
          <w:lang w:val="en-US"/>
        </w:rPr>
      </w:pPr>
      <w:r>
        <w:rPr>
          <w:rStyle w:val="FootnoteReference"/>
        </w:rPr>
        <w:footnoteRef/>
      </w:r>
      <w:r>
        <w:t xml:space="preserve"> </w:t>
      </w:r>
      <w:r>
        <w:rPr>
          <w:sz w:val="16"/>
          <w:szCs w:val="16"/>
        </w:rPr>
        <w:t>LGBF Inverclyde Performance Data and links (</w:t>
      </w:r>
      <w:hyperlink r:id="rId14" w:history="1">
        <w:r w:rsidRPr="00C63ECE">
          <w:rPr>
            <w:rStyle w:val="Hyperlink"/>
            <w:sz w:val="16"/>
            <w:szCs w:val="16"/>
          </w:rPr>
          <w:t>link</w:t>
        </w:r>
      </w:hyperlink>
      <w:r>
        <w:rPr>
          <w:sz w:val="16"/>
          <w:szCs w:val="16"/>
        </w:rPr>
        <w:t>)</w:t>
      </w:r>
    </w:p>
  </w:footnote>
  <w:footnote w:id="14">
    <w:p w14:paraId="24FE6D28" w14:textId="22E4F683" w:rsidR="00FD039F" w:rsidRPr="0004723A" w:rsidRDefault="00FD039F" w:rsidP="00FD039F">
      <w:pPr>
        <w:pStyle w:val="FootnoteText"/>
        <w:rPr>
          <w:lang w:val="en-US"/>
        </w:rPr>
      </w:pPr>
      <w:r>
        <w:rPr>
          <w:rStyle w:val="FootnoteReference"/>
        </w:rPr>
        <w:footnoteRef/>
      </w:r>
      <w:r>
        <w:t xml:space="preserve"> </w:t>
      </w:r>
      <w:r w:rsidR="00CF6FC1">
        <w:rPr>
          <w:sz w:val="16"/>
          <w:szCs w:val="16"/>
        </w:rPr>
        <w:t>Artificial Sports Pitches Lifecycle Plan</w:t>
      </w:r>
      <w:r>
        <w:rPr>
          <w:sz w:val="16"/>
          <w:szCs w:val="16"/>
        </w:rPr>
        <w:t xml:space="preserve"> (</w:t>
      </w:r>
      <w:hyperlink r:id="rId15" w:history="1">
        <w:r w:rsidRPr="00C63ECE">
          <w:rPr>
            <w:rStyle w:val="Hyperlink"/>
            <w:sz w:val="16"/>
            <w:szCs w:val="16"/>
          </w:rPr>
          <w:t>link</w:t>
        </w:r>
      </w:hyperlink>
      <w:r>
        <w:rPr>
          <w:sz w:val="16"/>
          <w:szCs w:val="16"/>
        </w:rPr>
        <w:t>)</w:t>
      </w:r>
    </w:p>
  </w:footnote>
  <w:footnote w:id="15">
    <w:p w14:paraId="3AC4552B" w14:textId="33A75745" w:rsidR="00A34F54" w:rsidRPr="0004723A" w:rsidRDefault="00A34F54" w:rsidP="00A34F54">
      <w:pPr>
        <w:pStyle w:val="FootnoteText"/>
        <w:rPr>
          <w:lang w:val="en-US"/>
        </w:rPr>
      </w:pPr>
      <w:r>
        <w:rPr>
          <w:rStyle w:val="FootnoteReference"/>
        </w:rPr>
        <w:footnoteRef/>
      </w:r>
      <w:r>
        <w:t xml:space="preserve"> </w:t>
      </w:r>
      <w:r>
        <w:rPr>
          <w:sz w:val="16"/>
          <w:szCs w:val="16"/>
        </w:rPr>
        <w:t>Inverclyde Leisure Strategic Asset Review (</w:t>
      </w:r>
      <w:hyperlink r:id="rId16" w:history="1">
        <w:r w:rsidRPr="00C63ECE">
          <w:rPr>
            <w:rStyle w:val="Hyperlink"/>
            <w:sz w:val="16"/>
            <w:szCs w:val="16"/>
          </w:rPr>
          <w:t>link</w:t>
        </w:r>
      </w:hyperlink>
      <w:r>
        <w:rPr>
          <w:sz w:val="16"/>
          <w:szCs w:val="16"/>
        </w:rPr>
        <w:t>)</w:t>
      </w:r>
    </w:p>
  </w:footnote>
  <w:footnote w:id="16">
    <w:p w14:paraId="40E340F3" w14:textId="5D29C3BD" w:rsidR="00D52D2A" w:rsidRPr="0004723A" w:rsidRDefault="00D52D2A" w:rsidP="00D52D2A">
      <w:pPr>
        <w:pStyle w:val="FootnoteText"/>
        <w:rPr>
          <w:lang w:val="en-US"/>
        </w:rPr>
      </w:pPr>
      <w:r>
        <w:rPr>
          <w:rStyle w:val="FootnoteReference"/>
        </w:rPr>
        <w:footnoteRef/>
      </w:r>
      <w:r>
        <w:t xml:space="preserve"> </w:t>
      </w:r>
      <w:r>
        <w:rPr>
          <w:sz w:val="16"/>
          <w:szCs w:val="16"/>
        </w:rPr>
        <w:t>Roads Asset Management Strategy 2018-23 (</w:t>
      </w:r>
      <w:hyperlink r:id="rId17" w:history="1">
        <w:r w:rsidRPr="00C63ECE">
          <w:rPr>
            <w:rStyle w:val="Hyperlink"/>
            <w:sz w:val="16"/>
            <w:szCs w:val="16"/>
          </w:rPr>
          <w:t>link</w:t>
        </w:r>
      </w:hyperlink>
      <w:r>
        <w:rPr>
          <w:sz w:val="16"/>
          <w:szCs w:val="16"/>
        </w:rPr>
        <w:t>)</w:t>
      </w:r>
    </w:p>
  </w:footnote>
  <w:footnote w:id="17">
    <w:p w14:paraId="7DB9FE07" w14:textId="6B5E8ECB" w:rsidR="00616088" w:rsidRPr="0004723A" w:rsidRDefault="00616088" w:rsidP="00616088">
      <w:pPr>
        <w:pStyle w:val="FootnoteText"/>
        <w:rPr>
          <w:lang w:val="en-US"/>
        </w:rPr>
      </w:pPr>
      <w:r>
        <w:rPr>
          <w:rStyle w:val="FootnoteReference"/>
        </w:rPr>
        <w:footnoteRef/>
      </w:r>
      <w:r>
        <w:t xml:space="preserve"> </w:t>
      </w:r>
      <w:r>
        <w:rPr>
          <w:sz w:val="16"/>
          <w:szCs w:val="16"/>
        </w:rPr>
        <w:t>Education Services Digital Learning Strategy 2021-2028 (</w:t>
      </w:r>
      <w:hyperlink r:id="rId18" w:history="1">
        <w:r w:rsidRPr="00C63ECE">
          <w:rPr>
            <w:rStyle w:val="Hyperlink"/>
            <w:sz w:val="16"/>
            <w:szCs w:val="16"/>
          </w:rPr>
          <w:t>link</w:t>
        </w:r>
      </w:hyperlink>
      <w:r>
        <w:rPr>
          <w:sz w:val="16"/>
          <w:szCs w:val="16"/>
        </w:rPr>
        <w:t>)</w:t>
      </w:r>
    </w:p>
  </w:footnote>
  <w:footnote w:id="18">
    <w:p w14:paraId="4D2500A6" w14:textId="445A37A3" w:rsidR="00911796" w:rsidRPr="0004723A" w:rsidRDefault="00911796" w:rsidP="00911796">
      <w:pPr>
        <w:pStyle w:val="FootnoteText"/>
        <w:rPr>
          <w:lang w:val="en-US"/>
        </w:rPr>
      </w:pPr>
      <w:r>
        <w:rPr>
          <w:rStyle w:val="FootnoteReference"/>
        </w:rPr>
        <w:footnoteRef/>
      </w:r>
      <w:r>
        <w:t xml:space="preserve"> </w:t>
      </w:r>
      <w:r>
        <w:rPr>
          <w:sz w:val="16"/>
          <w:szCs w:val="16"/>
        </w:rPr>
        <w:t>Procurement Strategy 2022-25 (</w:t>
      </w:r>
      <w:hyperlink r:id="rId19" w:history="1">
        <w:r w:rsidRPr="00C63ECE">
          <w:rPr>
            <w:rStyle w:val="Hyperlink"/>
            <w:sz w:val="16"/>
            <w:szCs w:val="16"/>
          </w:rPr>
          <w:t>link</w:t>
        </w:r>
      </w:hyperlink>
      <w:r>
        <w:rPr>
          <w:sz w:val="16"/>
          <w:szCs w:val="16"/>
        </w:rPr>
        <w:t>)</w:t>
      </w:r>
    </w:p>
  </w:footnote>
  <w:footnote w:id="19">
    <w:p w14:paraId="6DCDBF9F" w14:textId="379F35E6" w:rsidR="00CB0C41" w:rsidRPr="0004723A" w:rsidRDefault="00CB0C41" w:rsidP="00CB0C41">
      <w:pPr>
        <w:pStyle w:val="FootnoteText"/>
        <w:rPr>
          <w:lang w:val="en-US"/>
        </w:rPr>
      </w:pPr>
      <w:r>
        <w:rPr>
          <w:rStyle w:val="FootnoteReference"/>
        </w:rPr>
        <w:footnoteRef/>
      </w:r>
      <w:r>
        <w:t xml:space="preserve"> </w:t>
      </w:r>
      <w:r w:rsidR="00440AFC">
        <w:rPr>
          <w:sz w:val="16"/>
          <w:szCs w:val="16"/>
        </w:rPr>
        <w:t>Risk Management Strategy</w:t>
      </w:r>
      <w:r>
        <w:rPr>
          <w:sz w:val="16"/>
          <w:szCs w:val="16"/>
        </w:rPr>
        <w:t xml:space="preserve"> (</w:t>
      </w:r>
      <w:hyperlink r:id="rId20" w:history="1">
        <w:r w:rsidRPr="00C63ECE">
          <w:rPr>
            <w:rStyle w:val="Hyperlink"/>
            <w:sz w:val="16"/>
            <w:szCs w:val="16"/>
          </w:rPr>
          <w:t>link</w:t>
        </w:r>
      </w:hyperlink>
      <w:r>
        <w:rPr>
          <w:sz w:val="16"/>
          <w:szCs w:val="16"/>
        </w:rPr>
        <w:t>)</w:t>
      </w:r>
    </w:p>
  </w:footnote>
  <w:footnote w:id="20">
    <w:p w14:paraId="5FF47814" w14:textId="2EE60508" w:rsidR="00440AFC" w:rsidRPr="0004723A" w:rsidRDefault="00440AFC" w:rsidP="00440AFC">
      <w:pPr>
        <w:pStyle w:val="FootnoteText"/>
        <w:rPr>
          <w:lang w:val="en-US"/>
        </w:rPr>
      </w:pPr>
      <w:r>
        <w:rPr>
          <w:rStyle w:val="FootnoteReference"/>
        </w:rPr>
        <w:footnoteRef/>
      </w:r>
      <w:r>
        <w:t xml:space="preserve"> </w:t>
      </w:r>
      <w:r>
        <w:rPr>
          <w:sz w:val="16"/>
          <w:szCs w:val="16"/>
        </w:rPr>
        <w:t>Corporate Risk Register 2024-1 (</w:t>
      </w:r>
      <w:hyperlink r:id="rId21" w:history="1">
        <w:r w:rsidRPr="00C63ECE">
          <w:rPr>
            <w:rStyle w:val="Hyperlink"/>
            <w:sz w:val="16"/>
            <w:szCs w:val="16"/>
          </w:rPr>
          <w:t>link</w:t>
        </w:r>
      </w:hyperlink>
      <w:r>
        <w:rPr>
          <w:sz w:val="16"/>
          <w:szCs w:val="16"/>
        </w:rPr>
        <w:t>)</w:t>
      </w:r>
    </w:p>
  </w:footnote>
  <w:footnote w:id="21">
    <w:p w14:paraId="3C9806D9" w14:textId="4BAD4087" w:rsidR="00B2290C" w:rsidRPr="0004723A" w:rsidRDefault="00B2290C" w:rsidP="00B2290C">
      <w:pPr>
        <w:pStyle w:val="FootnoteText"/>
        <w:rPr>
          <w:lang w:val="en-US"/>
        </w:rPr>
      </w:pPr>
      <w:r>
        <w:rPr>
          <w:rStyle w:val="FootnoteReference"/>
        </w:rPr>
        <w:footnoteRef/>
      </w:r>
      <w:r>
        <w:t xml:space="preserve"> </w:t>
      </w:r>
      <w:r>
        <w:rPr>
          <w:sz w:val="16"/>
          <w:szCs w:val="16"/>
        </w:rPr>
        <w:t>Net Zero Strategy 2021-2045 (</w:t>
      </w:r>
      <w:hyperlink r:id="rId22" w:history="1">
        <w:r w:rsidRPr="00C63ECE">
          <w:rPr>
            <w:rStyle w:val="Hyperlink"/>
            <w:sz w:val="16"/>
            <w:szCs w:val="16"/>
          </w:rPr>
          <w:t>link</w:t>
        </w:r>
      </w:hyperlink>
      <w:r>
        <w:rPr>
          <w:sz w:val="16"/>
          <w:szCs w:val="16"/>
        </w:rPr>
        <w:t>)</w:t>
      </w:r>
    </w:p>
  </w:footnote>
  <w:footnote w:id="22">
    <w:p w14:paraId="070FCF96" w14:textId="2806FBD5" w:rsidR="00B2290C" w:rsidRPr="0004723A" w:rsidRDefault="00B2290C" w:rsidP="00B2290C">
      <w:pPr>
        <w:pStyle w:val="FootnoteText"/>
        <w:rPr>
          <w:lang w:val="en-US"/>
        </w:rPr>
      </w:pPr>
      <w:r>
        <w:rPr>
          <w:rStyle w:val="FootnoteReference"/>
        </w:rPr>
        <w:footnoteRef/>
      </w:r>
      <w:r>
        <w:t xml:space="preserve"> </w:t>
      </w:r>
      <w:r>
        <w:rPr>
          <w:sz w:val="16"/>
          <w:szCs w:val="16"/>
        </w:rPr>
        <w:t>Net Zero Strategy Action Plan 2022-2027 (</w:t>
      </w:r>
      <w:hyperlink r:id="rId23" w:history="1">
        <w:r w:rsidRPr="00C63ECE">
          <w:rPr>
            <w:rStyle w:val="Hyperlink"/>
            <w:sz w:val="16"/>
            <w:szCs w:val="16"/>
          </w:rPr>
          <w:t>link</w:t>
        </w:r>
      </w:hyperlink>
      <w:r>
        <w:rPr>
          <w:sz w:val="16"/>
          <w:szCs w:val="16"/>
        </w:rPr>
        <w:t>)</w:t>
      </w:r>
    </w:p>
  </w:footnote>
  <w:footnote w:id="23">
    <w:p w14:paraId="24BAD9A7" w14:textId="006E7B9F" w:rsidR="008D2154" w:rsidRPr="0004723A" w:rsidRDefault="008D2154" w:rsidP="008D2154">
      <w:pPr>
        <w:pStyle w:val="FootnoteText"/>
        <w:rPr>
          <w:lang w:val="en-US"/>
        </w:rPr>
      </w:pPr>
      <w:r>
        <w:rPr>
          <w:rStyle w:val="FootnoteReference"/>
        </w:rPr>
        <w:footnoteRef/>
      </w:r>
      <w:r>
        <w:t xml:space="preserve"> </w:t>
      </w:r>
      <w:r w:rsidR="005B606B">
        <w:rPr>
          <w:sz w:val="16"/>
          <w:szCs w:val="16"/>
        </w:rPr>
        <w:t>Local Heat and Energy Efficiency Strat</w:t>
      </w:r>
      <w:r>
        <w:rPr>
          <w:sz w:val="16"/>
          <w:szCs w:val="16"/>
        </w:rPr>
        <w:t>egy (</w:t>
      </w:r>
      <w:hyperlink r:id="rId24" w:history="1">
        <w:r w:rsidRPr="00C63ECE">
          <w:rPr>
            <w:rStyle w:val="Hyperlink"/>
            <w:sz w:val="16"/>
            <w:szCs w:val="16"/>
          </w:rPr>
          <w:t>link</w:t>
        </w:r>
      </w:hyperlink>
      <w:r>
        <w:rPr>
          <w:sz w:val="16"/>
          <w:szCs w:val="16"/>
        </w:rPr>
        <w:t>)</w:t>
      </w:r>
    </w:p>
  </w:footnote>
  <w:footnote w:id="24">
    <w:p w14:paraId="481DE92F" w14:textId="4A79ED3E" w:rsidR="005B606B" w:rsidRPr="0004723A" w:rsidRDefault="005B606B" w:rsidP="005B606B">
      <w:pPr>
        <w:pStyle w:val="FootnoteText"/>
        <w:rPr>
          <w:lang w:val="en-US"/>
        </w:rPr>
      </w:pPr>
      <w:r>
        <w:rPr>
          <w:rStyle w:val="FootnoteReference"/>
        </w:rPr>
        <w:footnoteRef/>
      </w:r>
      <w:r>
        <w:t xml:space="preserve"> </w:t>
      </w:r>
      <w:r>
        <w:rPr>
          <w:sz w:val="16"/>
          <w:szCs w:val="16"/>
        </w:rPr>
        <w:t>Local Heat and Energy Efficiency Delivery Plan (</w:t>
      </w:r>
      <w:hyperlink r:id="rId25" w:history="1">
        <w:r w:rsidRPr="00C63ECE">
          <w:rPr>
            <w:rStyle w:val="Hyperlink"/>
            <w:sz w:val="16"/>
            <w:szCs w:val="16"/>
          </w:rPr>
          <w:t>link</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CA49" w14:textId="7C229079" w:rsidR="00467555" w:rsidRDefault="00EC438B">
    <w:pPr>
      <w:pStyle w:val="Header"/>
    </w:pPr>
    <w:r>
      <w:rPr>
        <w:noProof/>
      </w:rPr>
      <mc:AlternateContent>
        <mc:Choice Requires="wps">
          <w:drawing>
            <wp:anchor distT="0" distB="0" distL="0" distR="0" simplePos="0" relativeHeight="251656192" behindDoc="0" locked="0" layoutInCell="1" allowOverlap="1" wp14:anchorId="6856D3A5" wp14:editId="09DB937F">
              <wp:simplePos x="635" y="635"/>
              <wp:positionH relativeFrom="page">
                <wp:align>left</wp:align>
              </wp:positionH>
              <wp:positionV relativeFrom="page">
                <wp:align>top</wp:align>
              </wp:positionV>
              <wp:extent cx="443865" cy="443865"/>
              <wp:effectExtent l="0" t="0" r="10160" b="4445"/>
              <wp:wrapNone/>
              <wp:docPr id="544252275" name="Text Box 544252275"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3EF11" w14:textId="1A7721A4"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56D3A5" id="_x0000_t202" coordsize="21600,21600" o:spt="202" path="m,l,21600r21600,l21600,xe">
              <v:stroke joinstyle="miter"/>
              <v:path gradientshapeok="t" o:connecttype="rect"/>
            </v:shapetype>
            <v:shape id="Text Box 544252275" o:spid="_x0000_s1029" type="#_x0000_t202" alt="Classification : Official" style="position:absolute;margin-left:0;margin-top:0;width:34.95pt;height:34.95pt;z-index:2516561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283EF11" w14:textId="1A7721A4"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0C57" w14:textId="1214AA7B" w:rsidR="001F5A73" w:rsidRPr="00467555" w:rsidRDefault="001F5A73" w:rsidP="001F5A73">
    <w:pPr>
      <w:spacing w:after="0"/>
      <w:rPr>
        <w:b/>
        <w:color w:val="FFFFFF" w:themeColor="background2"/>
        <w:sz w:val="24"/>
        <w:szCs w:val="24"/>
      </w:rPr>
    </w:pPr>
  </w:p>
  <w:p w14:paraId="072927FF" w14:textId="77777777" w:rsidR="001F5A73" w:rsidRPr="00467555" w:rsidRDefault="001F5A73" w:rsidP="001F5A73">
    <w:pPr>
      <w:spacing w:after="0"/>
      <w:rPr>
        <w:b/>
        <w:color w:val="FFFFFF" w:themeColor="background2"/>
        <w:sz w:val="24"/>
        <w:szCs w:val="24"/>
      </w:rPr>
    </w:pPr>
  </w:p>
  <w:p w14:paraId="50F01290" w14:textId="77777777" w:rsidR="001F5A73" w:rsidRPr="00467555" w:rsidRDefault="001F5A73" w:rsidP="001F5A73">
    <w:pPr>
      <w:spacing w:after="0"/>
      <w:rPr>
        <w:b/>
        <w:color w:val="FFFFFF" w:themeColor="background2"/>
        <w:sz w:val="24"/>
        <w:szCs w:val="24"/>
      </w:rPr>
    </w:pPr>
  </w:p>
  <w:p w14:paraId="25050F9B" w14:textId="77777777" w:rsidR="001F5A73" w:rsidRPr="00467555" w:rsidRDefault="001F5A73" w:rsidP="001F5A73">
    <w:pPr>
      <w:spacing w:after="0"/>
      <w:rPr>
        <w:b/>
        <w:color w:val="FFFFFF" w:themeColor="background2"/>
        <w:sz w:val="24"/>
        <w:szCs w:val="24"/>
      </w:rPr>
    </w:pPr>
  </w:p>
  <w:p w14:paraId="4E34795C" w14:textId="77777777" w:rsidR="001F5A73" w:rsidRPr="00467555" w:rsidRDefault="001F5A73" w:rsidP="001F5A73">
    <w:pPr>
      <w:spacing w:after="0"/>
      <w:rPr>
        <w:b/>
        <w:color w:val="009FDA" w:themeColor="accent2"/>
        <w:sz w:val="48"/>
        <w:szCs w:val="37"/>
      </w:rPr>
    </w:pPr>
  </w:p>
  <w:p w14:paraId="4E20A646" w14:textId="1503C766" w:rsidR="001F5A73" w:rsidRPr="00467555" w:rsidRDefault="001F5A73" w:rsidP="001F5A73">
    <w:pPr>
      <w:spacing w:after="0"/>
      <w:rPr>
        <w:b/>
        <w:color w:val="1E4479" w:themeColor="accent1"/>
        <w:sz w:val="24"/>
        <w:szCs w:val="24"/>
      </w:rPr>
    </w:pPr>
  </w:p>
  <w:p w14:paraId="55979BD4" w14:textId="21C7EC32" w:rsidR="00546D41" w:rsidRPr="00467555" w:rsidRDefault="00546D41" w:rsidP="00546D41">
    <w:pPr>
      <w:tabs>
        <w:tab w:val="center" w:pos="4513"/>
        <w:tab w:val="right" w:pos="9026"/>
      </w:tabs>
      <w:spacing w:after="0"/>
      <w:rPr>
        <w:color w:val="009FDA" w:themeColor="accent2"/>
        <w:sz w:val="29"/>
        <w:szCs w:val="2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34C7D" w14:textId="7654C356" w:rsidR="00467555" w:rsidRDefault="00EC438B">
    <w:pPr>
      <w:pStyle w:val="Header"/>
    </w:pPr>
    <w:r>
      <w:rPr>
        <w:noProof/>
      </w:rPr>
      <mc:AlternateContent>
        <mc:Choice Requires="wps">
          <w:drawing>
            <wp:anchor distT="0" distB="0" distL="0" distR="0" simplePos="0" relativeHeight="251655168" behindDoc="0" locked="0" layoutInCell="1" allowOverlap="1" wp14:anchorId="7B113F0E" wp14:editId="18F3489B">
              <wp:simplePos x="635" y="635"/>
              <wp:positionH relativeFrom="page">
                <wp:align>left</wp:align>
              </wp:positionH>
              <wp:positionV relativeFrom="page">
                <wp:align>top</wp:align>
              </wp:positionV>
              <wp:extent cx="443865" cy="443865"/>
              <wp:effectExtent l="0" t="0" r="10160" b="4445"/>
              <wp:wrapNone/>
              <wp:docPr id="1002181071" name="Text Box 100218107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90F20C" w14:textId="272C7CDC" w:rsidR="00EC438B" w:rsidRPr="00EC438B" w:rsidRDefault="00EC438B" w:rsidP="00EC438B">
                          <w:pPr>
                            <w:spacing w:after="0"/>
                            <w:rPr>
                              <w:rFonts w:ascii="Calibri" w:eastAsia="Calibri" w:hAnsi="Calibri" w:cs="Calibri"/>
                              <w:noProof/>
                              <w:color w:val="000000"/>
                              <w:sz w:val="24"/>
                              <w:szCs w:val="24"/>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B113F0E" id="_x0000_t202" coordsize="21600,21600" o:spt="202" path="m,l,21600r21600,l21600,xe">
              <v:stroke joinstyle="miter"/>
              <v:path gradientshapeok="t" o:connecttype="rect"/>
            </v:shapetype>
            <v:shape id="Text Box 1002181071" o:spid="_x0000_s1030" type="#_x0000_t202" alt="Classification : Official" style="position:absolute;margin-left:0;margin-top:0;width:34.95pt;height:34.95pt;z-index:2516551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A90F20C" w14:textId="272C7CDC" w:rsidR="00EC438B" w:rsidRPr="00EC438B" w:rsidRDefault="00EC438B" w:rsidP="00EC438B">
                    <w:pPr>
                      <w:spacing w:after="0"/>
                      <w:rPr>
                        <w:rFonts w:ascii="Calibri" w:eastAsia="Calibri" w:hAnsi="Calibri" w:cs="Calibri"/>
                        <w:noProof/>
                        <w:color w:val="000000"/>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F1A87" w14:textId="105A1B1E" w:rsidR="00467555" w:rsidRDefault="00EC438B">
    <w:pPr>
      <w:pStyle w:val="Header"/>
    </w:pPr>
    <w:r>
      <w:rPr>
        <w:noProof/>
      </w:rPr>
      <mc:AlternateContent>
        <mc:Choice Requires="wps">
          <w:drawing>
            <wp:anchor distT="0" distB="0" distL="0" distR="0" simplePos="0" relativeHeight="251658240" behindDoc="0" locked="0" layoutInCell="1" allowOverlap="1" wp14:anchorId="56486D42" wp14:editId="578219E8">
              <wp:simplePos x="635" y="635"/>
              <wp:positionH relativeFrom="page">
                <wp:align>left</wp:align>
              </wp:positionH>
              <wp:positionV relativeFrom="page">
                <wp:align>top</wp:align>
              </wp:positionV>
              <wp:extent cx="443865" cy="443865"/>
              <wp:effectExtent l="0" t="0" r="10160" b="4445"/>
              <wp:wrapNone/>
              <wp:docPr id="27764541" name="Text Box 2776454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31E64F" w14:textId="185D4AE7"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486D42" id="_x0000_t202" coordsize="21600,21600" o:spt="202" path="m,l,21600r21600,l21600,xe">
              <v:stroke joinstyle="miter"/>
              <v:path gradientshapeok="t" o:connecttype="rect"/>
            </v:shapetype>
            <v:shape id="Text Box 27764541" o:spid="_x0000_s1031"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F31E64F" w14:textId="185D4AE7"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4890A" w14:textId="0D2479AA" w:rsidR="001F5A73" w:rsidRPr="00467555" w:rsidRDefault="00D34408" w:rsidP="00943EB4">
    <w:pPr>
      <w:pStyle w:val="SupportingHeader"/>
    </w:pPr>
    <w:r w:rsidRPr="00467555">
      <w:rPr>
        <w:b/>
        <w:bCs/>
      </w:rPr>
      <w:fldChar w:fldCharType="begin"/>
    </w:r>
    <w:r w:rsidRPr="00467555">
      <w:rPr>
        <w:b/>
        <w:bCs/>
      </w:rPr>
      <w:instrText xml:space="preserve"> STYLEREF  "Report Client"  \* MERGEFORMAT </w:instrText>
    </w:r>
    <w:r w:rsidRPr="00467555">
      <w:rPr>
        <w:b/>
        <w:bCs/>
      </w:rPr>
      <w:fldChar w:fldCharType="end"/>
    </w:r>
  </w:p>
  <w:p w14:paraId="541A2A16" w14:textId="26F0BC9C" w:rsidR="00943EB4" w:rsidRPr="00467555" w:rsidRDefault="00AD2835" w:rsidP="00943EB4">
    <w:pPr>
      <w:pStyle w:val="SupportingHeader"/>
    </w:pPr>
    <w:r>
      <w:fldChar w:fldCharType="begin"/>
    </w:r>
    <w:r>
      <w:instrText xml:space="preserve"> STYLEREF  "Report Project"  \* MERGEFORMAT </w:instrText>
    </w:r>
    <w:r>
      <w:fldChar w:fldCharType="separate"/>
    </w:r>
    <w:r>
      <w:rPr>
        <w:noProof/>
      </w:rPr>
      <w:t>Inverclyde Council</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C48B1" w14:textId="0F89C28C" w:rsidR="00467555" w:rsidRDefault="00EC438B">
    <w:pPr>
      <w:pStyle w:val="Header"/>
    </w:pPr>
    <w:r>
      <w:rPr>
        <w:noProof/>
      </w:rPr>
      <mc:AlternateContent>
        <mc:Choice Requires="wps">
          <w:drawing>
            <wp:anchor distT="0" distB="0" distL="0" distR="0" simplePos="0" relativeHeight="251657216" behindDoc="0" locked="0" layoutInCell="1" allowOverlap="1" wp14:anchorId="1D3D051D" wp14:editId="2998A466">
              <wp:simplePos x="635" y="635"/>
              <wp:positionH relativeFrom="page">
                <wp:align>left</wp:align>
              </wp:positionH>
              <wp:positionV relativeFrom="page">
                <wp:align>top</wp:align>
              </wp:positionV>
              <wp:extent cx="443865" cy="443865"/>
              <wp:effectExtent l="0" t="0" r="10160" b="4445"/>
              <wp:wrapNone/>
              <wp:docPr id="1421153776" name="Text Box 1421153776"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B54CD" w14:textId="31812021"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3D051D" id="_x0000_t202" coordsize="21600,21600" o:spt="202" path="m,l,21600r21600,l21600,xe">
              <v:stroke joinstyle="miter"/>
              <v:path gradientshapeok="t" o:connecttype="rect"/>
            </v:shapetype>
            <v:shape id="Text Box 1421153776" o:spid="_x0000_s1032" type="#_x0000_t202" alt="Classification : Official" style="position:absolute;margin-left:0;margin-top:0;width:34.95pt;height:34.95pt;z-index:2516572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36CB54CD" w14:textId="31812021"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D0681" w14:textId="361CEC1D" w:rsidR="00467555" w:rsidRDefault="00EC438B">
    <w:pPr>
      <w:pStyle w:val="Header"/>
    </w:pPr>
    <w:r>
      <w:rPr>
        <w:noProof/>
      </w:rPr>
      <mc:AlternateContent>
        <mc:Choice Requires="wps">
          <w:drawing>
            <wp:anchor distT="0" distB="0" distL="0" distR="0" simplePos="0" relativeHeight="251660288" behindDoc="0" locked="0" layoutInCell="1" allowOverlap="1" wp14:anchorId="54016FBB" wp14:editId="4E0B99A3">
              <wp:simplePos x="635" y="635"/>
              <wp:positionH relativeFrom="page">
                <wp:align>left</wp:align>
              </wp:positionH>
              <wp:positionV relativeFrom="page">
                <wp:align>top</wp:align>
              </wp:positionV>
              <wp:extent cx="443865" cy="443865"/>
              <wp:effectExtent l="0" t="0" r="10160" b="4445"/>
              <wp:wrapNone/>
              <wp:docPr id="1879084173" name="Text Box 187908417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B135E" w14:textId="3592F449"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016FBB" id="_x0000_t202" coordsize="21600,21600" o:spt="202" path="m,l,21600r21600,l21600,xe">
              <v:stroke joinstyle="miter"/>
              <v:path gradientshapeok="t" o:connecttype="rect"/>
            </v:shapetype>
            <v:shape id="Text Box 1879084173" o:spid="_x0000_s1033"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5E2B135E" w14:textId="3592F449"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FAA00" w14:textId="56E4CC74" w:rsidR="00467555" w:rsidRPr="00467555" w:rsidRDefault="00467555" w:rsidP="00943EB4">
    <w:pPr>
      <w:pStyle w:val="SupportingHeader"/>
      <w:rPr>
        <w:b/>
      </w:rPr>
    </w:pPr>
    <w:r w:rsidRPr="00467555">
      <w:rPr>
        <w:b/>
      </w:rPr>
      <w:fldChar w:fldCharType="begin"/>
    </w:r>
    <w:r w:rsidRPr="00467555">
      <w:rPr>
        <w:b/>
      </w:rPr>
      <w:instrText xml:space="preserve"> STYLEREF  "Report Client"  \* MERGEFORMAT </w:instrText>
    </w:r>
    <w:r w:rsidRPr="00467555">
      <w:rPr>
        <w:b/>
      </w:rPr>
      <w:fldChar w:fldCharType="end"/>
    </w:r>
  </w:p>
  <w:p w14:paraId="5F79B769" w14:textId="4933153C" w:rsidR="00467555" w:rsidRPr="00467555" w:rsidRDefault="00AD2835" w:rsidP="00943EB4">
    <w:pPr>
      <w:pStyle w:val="SupportingHeader"/>
    </w:pPr>
    <w:r>
      <w:fldChar w:fldCharType="begin"/>
    </w:r>
    <w:r>
      <w:instrText xml:space="preserve"> STYLEREF  "Report Project"  \* MERGEFORMAT </w:instrText>
    </w:r>
    <w:r>
      <w:fldChar w:fldCharType="separate"/>
    </w:r>
    <w:r>
      <w:rPr>
        <w:noProof/>
      </w:rPr>
      <w:t>Inverclyde Council</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5A205" w14:textId="2A2363EB" w:rsidR="00467555" w:rsidRPr="00467555" w:rsidRDefault="00EC438B" w:rsidP="007A15B6">
    <w:pPr>
      <w:pStyle w:val="Normal-Nospacing"/>
    </w:pPr>
    <w:r>
      <w:rPr>
        <w:noProof/>
      </w:rPr>
      <mc:AlternateContent>
        <mc:Choice Requires="wps">
          <w:drawing>
            <wp:anchor distT="0" distB="0" distL="0" distR="0" simplePos="0" relativeHeight="251659264" behindDoc="0" locked="0" layoutInCell="1" allowOverlap="1" wp14:anchorId="2ABCF81A" wp14:editId="0A727837">
              <wp:simplePos x="635" y="635"/>
              <wp:positionH relativeFrom="page">
                <wp:align>left</wp:align>
              </wp:positionH>
              <wp:positionV relativeFrom="page">
                <wp:align>top</wp:align>
              </wp:positionV>
              <wp:extent cx="443865" cy="443865"/>
              <wp:effectExtent l="0" t="0" r="10160" b="4445"/>
              <wp:wrapNone/>
              <wp:docPr id="322331154" name="Text Box 322331154"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6EEC9" w14:textId="61B3390F"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BCF81A" id="_x0000_t202" coordsize="21600,21600" o:spt="202" path="m,l,21600r21600,l21600,xe">
              <v:stroke joinstyle="miter"/>
              <v:path gradientshapeok="t" o:connecttype="rect"/>
            </v:shapetype>
            <v:shape id="Text Box 322331154" o:spid="_x0000_s1034"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0476EEC9" w14:textId="61B3390F" w:rsidR="00EC438B" w:rsidRPr="00EC438B" w:rsidRDefault="00EC438B" w:rsidP="00EC438B">
                    <w:pPr>
                      <w:spacing w:after="0"/>
                      <w:rPr>
                        <w:rFonts w:ascii="Calibri" w:eastAsia="Calibri" w:hAnsi="Calibri" w:cs="Calibri"/>
                        <w:noProof/>
                        <w:color w:val="000000"/>
                        <w:sz w:val="24"/>
                        <w:szCs w:val="24"/>
                      </w:rPr>
                    </w:pPr>
                    <w:r w:rsidRPr="00EC438B">
                      <w:rPr>
                        <w:rFonts w:ascii="Calibri" w:eastAsia="Calibri" w:hAnsi="Calibri" w:cs="Calibri"/>
                        <w:noProof/>
                        <w:color w:val="000000"/>
                        <w:sz w:val="24"/>
                        <w:szCs w:val="24"/>
                      </w:rPr>
                      <w:t>Classification : Official</w:t>
                    </w:r>
                  </w:p>
                </w:txbxContent>
              </v:textbox>
              <w10:wrap anchorx="page" anchory="page"/>
            </v:shape>
          </w:pict>
        </mc:Fallback>
      </mc:AlternateContent>
    </w:r>
    <w:r w:rsidR="00467555" w:rsidRPr="00467555">
      <w:rPr>
        <w:noProof/>
      </w:rPr>
      <w:drawing>
        <wp:anchor distT="0" distB="0" distL="114300" distR="114300" simplePos="0" relativeHeight="251654144" behindDoc="0" locked="1" layoutInCell="1" allowOverlap="1" wp14:anchorId="516E8E8F" wp14:editId="195FDEC4">
          <wp:simplePos x="0" y="0"/>
          <wp:positionH relativeFrom="margin">
            <wp:align>right</wp:align>
          </wp:positionH>
          <wp:positionV relativeFrom="page">
            <wp:posOffset>647700</wp:posOffset>
          </wp:positionV>
          <wp:extent cx="2447925" cy="352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7925" cy="352425"/>
                  </a:xfrm>
                  <a:prstGeom prst="rect">
                    <a:avLst/>
                  </a:prstGeom>
                </pic:spPr>
              </pic:pic>
            </a:graphicData>
          </a:graphic>
          <wp14:sizeRelH relativeFrom="margin">
            <wp14:pctWidth>0</wp14:pctWidth>
          </wp14:sizeRelH>
          <wp14:sizeRelV relativeFrom="margin">
            <wp14:pctHeight>0</wp14:pctHeight>
          </wp14:sizeRelV>
        </wp:anchor>
      </w:drawing>
    </w:r>
  </w:p>
  <w:p w14:paraId="25854CB2" w14:textId="77777777" w:rsidR="00467555" w:rsidRPr="00467555" w:rsidRDefault="00467555" w:rsidP="007A15B6">
    <w:pPr>
      <w:pStyle w:val="Normal-Nospacing"/>
    </w:pPr>
  </w:p>
  <w:p w14:paraId="05DC08F5" w14:textId="77777777" w:rsidR="00467555" w:rsidRPr="00467555" w:rsidRDefault="00467555" w:rsidP="007A15B6">
    <w:pPr>
      <w:pStyle w:val="Normal-Nospacing"/>
    </w:pPr>
  </w:p>
  <w:p w14:paraId="65504CA2" w14:textId="77777777" w:rsidR="00467555" w:rsidRPr="00467555" w:rsidRDefault="00467555" w:rsidP="007A15B6">
    <w:pPr>
      <w:pStyle w:val="Normal-Nospacing"/>
    </w:pPr>
  </w:p>
  <w:p w14:paraId="5498D471" w14:textId="77777777" w:rsidR="00467555" w:rsidRPr="00467555" w:rsidRDefault="00467555" w:rsidP="007A15B6">
    <w:pPr>
      <w:pStyle w:val="Normal-Nospacing"/>
    </w:pPr>
  </w:p>
  <w:p w14:paraId="061ADAFB" w14:textId="77777777" w:rsidR="00467555" w:rsidRPr="00467555" w:rsidRDefault="00467555" w:rsidP="007A15B6">
    <w:pPr>
      <w:pStyle w:val="Normal-Nospacing"/>
    </w:pPr>
  </w:p>
  <w:p w14:paraId="4F4F8030" w14:textId="77777777" w:rsidR="00467555" w:rsidRPr="00467555" w:rsidRDefault="00467555" w:rsidP="007A15B6">
    <w:pPr>
      <w:pStyle w:val="Normal-Nospacing"/>
    </w:pPr>
  </w:p>
  <w:p w14:paraId="37F58356" w14:textId="77777777" w:rsidR="00467555" w:rsidRPr="00467555" w:rsidRDefault="00467555" w:rsidP="007A15B6">
    <w:pPr>
      <w:pStyle w:val="Normal-Nospacing"/>
    </w:pPr>
  </w:p>
  <w:p w14:paraId="60BC422C" w14:textId="77777777" w:rsidR="00467555" w:rsidRPr="00467555" w:rsidRDefault="00467555" w:rsidP="007A15B6">
    <w:pPr>
      <w:pStyle w:val="Title"/>
    </w:pPr>
    <w:r w:rsidRPr="00467555">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7339"/>
    <w:multiLevelType w:val="hybridMultilevel"/>
    <w:tmpl w:val="6E60C1B8"/>
    <w:lvl w:ilvl="0" w:tplc="02B8AFC2">
      <w:start w:val="1"/>
      <w:numFmt w:val="bullet"/>
      <w:pStyle w:val="CS-ListBullet"/>
      <w:lvlText w:val=""/>
      <w:lvlJc w:val="left"/>
      <w:pPr>
        <w:ind w:left="720" w:hanging="360"/>
      </w:pPr>
      <w:rPr>
        <w:rFonts w:ascii="Wingdings" w:hAnsi="Wingdings" w:hint="default"/>
        <w:color w:val="009FDA" w:themeColor="accent2"/>
      </w:rPr>
    </w:lvl>
    <w:lvl w:ilvl="1" w:tplc="1550FAE4" w:tentative="1">
      <w:start w:val="1"/>
      <w:numFmt w:val="bullet"/>
      <w:lvlText w:val="o"/>
      <w:lvlJc w:val="left"/>
      <w:pPr>
        <w:ind w:left="1440" w:hanging="360"/>
      </w:pPr>
      <w:rPr>
        <w:rFonts w:ascii="Courier New" w:hAnsi="Courier New" w:cs="Courier New" w:hint="default"/>
      </w:rPr>
    </w:lvl>
    <w:lvl w:ilvl="2" w:tplc="BD7A6994" w:tentative="1">
      <w:start w:val="1"/>
      <w:numFmt w:val="bullet"/>
      <w:lvlText w:val=""/>
      <w:lvlJc w:val="left"/>
      <w:pPr>
        <w:ind w:left="2160" w:hanging="360"/>
      </w:pPr>
      <w:rPr>
        <w:rFonts w:ascii="Wingdings" w:hAnsi="Wingdings" w:hint="default"/>
      </w:rPr>
    </w:lvl>
    <w:lvl w:ilvl="3" w:tplc="B4E4430E" w:tentative="1">
      <w:start w:val="1"/>
      <w:numFmt w:val="bullet"/>
      <w:lvlText w:val=""/>
      <w:lvlJc w:val="left"/>
      <w:pPr>
        <w:ind w:left="2880" w:hanging="360"/>
      </w:pPr>
      <w:rPr>
        <w:rFonts w:ascii="Symbol" w:hAnsi="Symbol" w:hint="default"/>
      </w:rPr>
    </w:lvl>
    <w:lvl w:ilvl="4" w:tplc="FFB44F98" w:tentative="1">
      <w:start w:val="1"/>
      <w:numFmt w:val="bullet"/>
      <w:lvlText w:val="o"/>
      <w:lvlJc w:val="left"/>
      <w:pPr>
        <w:ind w:left="3600" w:hanging="360"/>
      </w:pPr>
      <w:rPr>
        <w:rFonts w:ascii="Courier New" w:hAnsi="Courier New" w:cs="Courier New" w:hint="default"/>
      </w:rPr>
    </w:lvl>
    <w:lvl w:ilvl="5" w:tplc="D450B8D8" w:tentative="1">
      <w:start w:val="1"/>
      <w:numFmt w:val="bullet"/>
      <w:lvlText w:val=""/>
      <w:lvlJc w:val="left"/>
      <w:pPr>
        <w:ind w:left="4320" w:hanging="360"/>
      </w:pPr>
      <w:rPr>
        <w:rFonts w:ascii="Wingdings" w:hAnsi="Wingdings" w:hint="default"/>
      </w:rPr>
    </w:lvl>
    <w:lvl w:ilvl="6" w:tplc="A8CE5D1C" w:tentative="1">
      <w:start w:val="1"/>
      <w:numFmt w:val="bullet"/>
      <w:lvlText w:val=""/>
      <w:lvlJc w:val="left"/>
      <w:pPr>
        <w:ind w:left="5040" w:hanging="360"/>
      </w:pPr>
      <w:rPr>
        <w:rFonts w:ascii="Symbol" w:hAnsi="Symbol" w:hint="default"/>
      </w:rPr>
    </w:lvl>
    <w:lvl w:ilvl="7" w:tplc="90CEC5D8" w:tentative="1">
      <w:start w:val="1"/>
      <w:numFmt w:val="bullet"/>
      <w:lvlText w:val="o"/>
      <w:lvlJc w:val="left"/>
      <w:pPr>
        <w:ind w:left="5760" w:hanging="360"/>
      </w:pPr>
      <w:rPr>
        <w:rFonts w:ascii="Courier New" w:hAnsi="Courier New" w:cs="Courier New" w:hint="default"/>
      </w:rPr>
    </w:lvl>
    <w:lvl w:ilvl="8" w:tplc="828E0FEC" w:tentative="1">
      <w:start w:val="1"/>
      <w:numFmt w:val="bullet"/>
      <w:lvlText w:val=""/>
      <w:lvlJc w:val="left"/>
      <w:pPr>
        <w:ind w:left="6480" w:hanging="360"/>
      </w:pPr>
      <w:rPr>
        <w:rFonts w:ascii="Wingdings" w:hAnsi="Wingdings" w:hint="default"/>
      </w:rPr>
    </w:lvl>
  </w:abstractNum>
  <w:abstractNum w:abstractNumId="1" w15:restartNumberingAfterBreak="0">
    <w:nsid w:val="120D2DA8"/>
    <w:multiLevelType w:val="multilevel"/>
    <w:tmpl w:val="BA4808DA"/>
    <w:name w:val="ListAlphasTT"/>
    <w:lvl w:ilvl="0">
      <w:start w:val="1"/>
      <w:numFmt w:val="lowerLetter"/>
      <w:pStyle w:val="List"/>
      <w:lvlText w:val="%1"/>
      <w:lvlJc w:val="left"/>
      <w:pPr>
        <w:tabs>
          <w:tab w:val="num" w:pos="1077"/>
        </w:tabs>
        <w:ind w:left="1077" w:hanging="283"/>
      </w:pPr>
      <w:rPr>
        <w:rFonts w:hint="default"/>
      </w:rPr>
    </w:lvl>
    <w:lvl w:ilvl="1">
      <w:start w:val="1"/>
      <w:numFmt w:val="lowerLetter"/>
      <w:pStyle w:val="List2"/>
      <w:lvlText w:val="%2"/>
      <w:lvlJc w:val="left"/>
      <w:pPr>
        <w:tabs>
          <w:tab w:val="num" w:pos="1361"/>
        </w:tabs>
        <w:ind w:left="1361" w:hanging="283"/>
      </w:pPr>
      <w:rPr>
        <w:rFonts w:hint="default"/>
      </w:rPr>
    </w:lvl>
    <w:lvl w:ilvl="2">
      <w:start w:val="1"/>
      <w:numFmt w:val="lowerLetter"/>
      <w:pStyle w:val="List3"/>
      <w:lvlText w:val="%3"/>
      <w:lvlJc w:val="left"/>
      <w:pPr>
        <w:tabs>
          <w:tab w:val="num" w:pos="1644"/>
        </w:tabs>
        <w:ind w:left="1644" w:hanging="282"/>
      </w:pPr>
      <w:rPr>
        <w:rFonts w:hint="default"/>
      </w:rPr>
    </w:lvl>
    <w:lvl w:ilvl="3">
      <w:start w:val="1"/>
      <w:numFmt w:val="lowerLetter"/>
      <w:pStyle w:val="List4"/>
      <w:lvlText w:val="%4"/>
      <w:lvlJc w:val="left"/>
      <w:pPr>
        <w:tabs>
          <w:tab w:val="num" w:pos="1928"/>
        </w:tabs>
        <w:ind w:left="1928" w:hanging="282"/>
      </w:pPr>
      <w:rPr>
        <w:rFonts w:hint="default"/>
      </w:rPr>
    </w:lvl>
    <w:lvl w:ilvl="4">
      <w:start w:val="1"/>
      <w:numFmt w:val="none"/>
      <w:lvlText w:val=""/>
      <w:lvlJc w:val="left"/>
      <w:pPr>
        <w:tabs>
          <w:tab w:val="num" w:pos="1420"/>
        </w:tabs>
        <w:ind w:left="1420" w:firstLine="510"/>
      </w:pPr>
      <w:rPr>
        <w:rFonts w:hint="default"/>
      </w:rPr>
    </w:lvl>
    <w:lvl w:ilvl="5">
      <w:start w:val="1"/>
      <w:numFmt w:val="none"/>
      <w:lvlText w:val=""/>
      <w:lvlJc w:val="right"/>
      <w:pPr>
        <w:tabs>
          <w:tab w:val="num" w:pos="1704"/>
        </w:tabs>
        <w:ind w:left="1704" w:firstLine="510"/>
      </w:pPr>
      <w:rPr>
        <w:rFonts w:hint="default"/>
      </w:rPr>
    </w:lvl>
    <w:lvl w:ilvl="6">
      <w:start w:val="1"/>
      <w:numFmt w:val="none"/>
      <w:lvlText w:val=""/>
      <w:lvlJc w:val="left"/>
      <w:pPr>
        <w:tabs>
          <w:tab w:val="num" w:pos="1988"/>
        </w:tabs>
        <w:ind w:left="1988" w:firstLine="510"/>
      </w:pPr>
      <w:rPr>
        <w:rFonts w:hint="default"/>
      </w:rPr>
    </w:lvl>
    <w:lvl w:ilvl="7">
      <w:start w:val="1"/>
      <w:numFmt w:val="none"/>
      <w:lvlText w:val=""/>
      <w:lvlJc w:val="left"/>
      <w:pPr>
        <w:tabs>
          <w:tab w:val="num" w:pos="2272"/>
        </w:tabs>
        <w:ind w:left="2272" w:firstLine="510"/>
      </w:pPr>
      <w:rPr>
        <w:rFonts w:hint="default"/>
      </w:rPr>
    </w:lvl>
    <w:lvl w:ilvl="8">
      <w:start w:val="1"/>
      <w:numFmt w:val="none"/>
      <w:lvlText w:val=""/>
      <w:lvlJc w:val="right"/>
      <w:pPr>
        <w:tabs>
          <w:tab w:val="num" w:pos="2556"/>
        </w:tabs>
        <w:ind w:left="2556" w:firstLine="510"/>
      </w:pPr>
      <w:rPr>
        <w:rFonts w:hint="default"/>
      </w:rPr>
    </w:lvl>
  </w:abstractNum>
  <w:abstractNum w:abstractNumId="2" w15:restartNumberingAfterBreak="0">
    <w:nsid w:val="13CA699D"/>
    <w:multiLevelType w:val="hybridMultilevel"/>
    <w:tmpl w:val="19D8BDA6"/>
    <w:lvl w:ilvl="0" w:tplc="BC964CD6">
      <w:start w:val="1"/>
      <w:numFmt w:val="bullet"/>
      <w:pStyle w:val="CV-List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D2A78"/>
    <w:multiLevelType w:val="hybridMultilevel"/>
    <w:tmpl w:val="FD9E2AE8"/>
    <w:lvl w:ilvl="0" w:tplc="AEE61CD6">
      <w:start w:val="1"/>
      <w:numFmt w:val="bullet"/>
      <w:lvlText w:val=""/>
      <w:lvlJc w:val="left"/>
      <w:pPr>
        <w:ind w:left="1151" w:hanging="360"/>
      </w:pPr>
      <w:rPr>
        <w:rFonts w:ascii="Wingdings" w:hAnsi="Wingdings" w:hint="default"/>
        <w:color w:val="009FDA" w:themeColor="accent2"/>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4" w15:restartNumberingAfterBreak="0">
    <w:nsid w:val="18AE72F9"/>
    <w:multiLevelType w:val="hybridMultilevel"/>
    <w:tmpl w:val="2AAECCAE"/>
    <w:lvl w:ilvl="0" w:tplc="AEE61CD6">
      <w:start w:val="1"/>
      <w:numFmt w:val="bullet"/>
      <w:lvlText w:val=""/>
      <w:lvlJc w:val="left"/>
      <w:pPr>
        <w:ind w:left="1154" w:hanging="360"/>
      </w:pPr>
      <w:rPr>
        <w:rFonts w:ascii="Wingdings" w:hAnsi="Wingdings" w:hint="default"/>
        <w:color w:val="009FDA" w:themeColor="accent2"/>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5" w15:restartNumberingAfterBreak="0">
    <w:nsid w:val="1DA04CA5"/>
    <w:multiLevelType w:val="hybridMultilevel"/>
    <w:tmpl w:val="419A0578"/>
    <w:lvl w:ilvl="0" w:tplc="058E6ACA">
      <w:start w:val="1"/>
      <w:numFmt w:val="bullet"/>
      <w:pStyle w:val="CV-DualListBullet"/>
      <w:lvlText w:val=""/>
      <w:lvlJc w:val="left"/>
      <w:pPr>
        <w:ind w:left="720" w:hanging="360"/>
      </w:pPr>
      <w:rPr>
        <w:rFonts w:ascii="Wingdings" w:hAnsi="Wingdings" w:hint="default"/>
        <w:color w:val="009FDA" w:themeColor="accent2"/>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6" w15:restartNumberingAfterBreak="0">
    <w:nsid w:val="28463C4D"/>
    <w:multiLevelType w:val="multilevel"/>
    <w:tmpl w:val="8056CFF8"/>
    <w:name w:val="ListNumbersTT"/>
    <w:lvl w:ilvl="0">
      <w:start w:val="1"/>
      <w:numFmt w:val="decimal"/>
      <w:pStyle w:val="ListNumber"/>
      <w:lvlText w:val="%1"/>
      <w:lvlJc w:val="left"/>
      <w:pPr>
        <w:tabs>
          <w:tab w:val="num" w:pos="1077"/>
        </w:tabs>
        <w:ind w:left="1077" w:hanging="283"/>
      </w:pPr>
      <w:rPr>
        <w:rFonts w:hint="default"/>
      </w:rPr>
    </w:lvl>
    <w:lvl w:ilvl="1">
      <w:start w:val="1"/>
      <w:numFmt w:val="decimal"/>
      <w:lvlText w:val="%2"/>
      <w:lvlJc w:val="left"/>
      <w:pPr>
        <w:tabs>
          <w:tab w:val="num" w:pos="1361"/>
        </w:tabs>
        <w:ind w:left="1361" w:hanging="283"/>
      </w:pPr>
      <w:rPr>
        <w:rFonts w:hint="default"/>
      </w:rPr>
    </w:lvl>
    <w:lvl w:ilvl="2">
      <w:start w:val="1"/>
      <w:numFmt w:val="decimal"/>
      <w:pStyle w:val="ListNumber3"/>
      <w:lvlText w:val="%3"/>
      <w:lvlJc w:val="left"/>
      <w:pPr>
        <w:tabs>
          <w:tab w:val="num" w:pos="1644"/>
        </w:tabs>
        <w:ind w:left="1644" w:hanging="282"/>
      </w:pPr>
      <w:rPr>
        <w:rFonts w:hint="default"/>
      </w:rPr>
    </w:lvl>
    <w:lvl w:ilvl="3">
      <w:start w:val="1"/>
      <w:numFmt w:val="decimal"/>
      <w:pStyle w:val="ListNumber4"/>
      <w:lvlText w:val="%4"/>
      <w:lvlJc w:val="left"/>
      <w:pPr>
        <w:tabs>
          <w:tab w:val="num" w:pos="1928"/>
        </w:tabs>
        <w:ind w:left="1928" w:hanging="282"/>
      </w:pPr>
      <w:rPr>
        <w:rFonts w:hint="default"/>
      </w:rPr>
    </w:lvl>
    <w:lvl w:ilvl="4">
      <w:start w:val="1"/>
      <w:numFmt w:val="none"/>
      <w:lvlText w:val=""/>
      <w:lvlJc w:val="left"/>
      <w:pPr>
        <w:tabs>
          <w:tab w:val="num" w:pos="1420"/>
        </w:tabs>
        <w:ind w:left="1420" w:firstLine="510"/>
      </w:pPr>
      <w:rPr>
        <w:rFonts w:hint="default"/>
      </w:rPr>
    </w:lvl>
    <w:lvl w:ilvl="5">
      <w:start w:val="1"/>
      <w:numFmt w:val="none"/>
      <w:lvlText w:val=""/>
      <w:lvlJc w:val="right"/>
      <w:pPr>
        <w:tabs>
          <w:tab w:val="num" w:pos="1704"/>
        </w:tabs>
        <w:ind w:left="1704" w:firstLine="510"/>
      </w:pPr>
      <w:rPr>
        <w:rFonts w:hint="default"/>
      </w:rPr>
    </w:lvl>
    <w:lvl w:ilvl="6">
      <w:start w:val="1"/>
      <w:numFmt w:val="none"/>
      <w:lvlText w:val=""/>
      <w:lvlJc w:val="left"/>
      <w:pPr>
        <w:tabs>
          <w:tab w:val="num" w:pos="1988"/>
        </w:tabs>
        <w:ind w:left="1988" w:firstLine="510"/>
      </w:pPr>
      <w:rPr>
        <w:rFonts w:hint="default"/>
      </w:rPr>
    </w:lvl>
    <w:lvl w:ilvl="7">
      <w:start w:val="1"/>
      <w:numFmt w:val="none"/>
      <w:lvlText w:val=""/>
      <w:lvlJc w:val="left"/>
      <w:pPr>
        <w:tabs>
          <w:tab w:val="num" w:pos="2272"/>
        </w:tabs>
        <w:ind w:left="2272" w:firstLine="510"/>
      </w:pPr>
      <w:rPr>
        <w:rFonts w:hint="default"/>
      </w:rPr>
    </w:lvl>
    <w:lvl w:ilvl="8">
      <w:start w:val="1"/>
      <w:numFmt w:val="none"/>
      <w:lvlText w:val=""/>
      <w:lvlJc w:val="right"/>
      <w:pPr>
        <w:tabs>
          <w:tab w:val="num" w:pos="2556"/>
        </w:tabs>
        <w:ind w:left="2556" w:firstLine="510"/>
      </w:pPr>
      <w:rPr>
        <w:rFonts w:hint="default"/>
      </w:rPr>
    </w:lvl>
  </w:abstractNum>
  <w:abstractNum w:abstractNumId="7" w15:restartNumberingAfterBreak="0">
    <w:nsid w:val="3BE923D7"/>
    <w:multiLevelType w:val="hybridMultilevel"/>
    <w:tmpl w:val="4106D1CA"/>
    <w:lvl w:ilvl="0" w:tplc="AEE61CD6">
      <w:start w:val="1"/>
      <w:numFmt w:val="bullet"/>
      <w:lvlText w:val=""/>
      <w:lvlJc w:val="left"/>
      <w:pPr>
        <w:ind w:left="1154" w:hanging="360"/>
      </w:pPr>
      <w:rPr>
        <w:rFonts w:ascii="Wingdings" w:hAnsi="Wingdings" w:hint="default"/>
        <w:color w:val="009FDA" w:themeColor="accent2"/>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8" w15:restartNumberingAfterBreak="0">
    <w:nsid w:val="464C03B3"/>
    <w:multiLevelType w:val="multilevel"/>
    <w:tmpl w:val="24F2E4E6"/>
    <w:lvl w:ilvl="0">
      <w:start w:val="1"/>
      <w:numFmt w:val="decimal"/>
      <w:pStyle w:val="Heading1"/>
      <w:lvlText w:val="%1"/>
      <w:lvlJc w:val="left"/>
      <w:pPr>
        <w:ind w:left="794" w:hanging="794"/>
      </w:pPr>
      <w:rPr>
        <w:rFonts w:ascii="Verdana" w:hAnsi="Verdana" w:hint="default"/>
        <w:b/>
        <w:bCs w:val="0"/>
        <w:i w:val="0"/>
        <w:iCs w:val="0"/>
        <w:caps w:val="0"/>
        <w:smallCaps w:val="0"/>
        <w:strike w:val="0"/>
        <w:dstrike w:val="0"/>
        <w:vanish w:val="0"/>
        <w:color w:val="1E4479" w:themeColor="accent1"/>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1.%2"/>
      <w:lvlJc w:val="left"/>
      <w:pPr>
        <w:ind w:left="794" w:hanging="794"/>
      </w:pPr>
      <w:rPr>
        <w:rFonts w:ascii="Verdana" w:hAnsi="Verdana" w:hint="default"/>
        <w:b/>
        <w:bCs w:val="0"/>
        <w:i w:val="0"/>
        <w:iCs w:val="0"/>
        <w:caps w:val="0"/>
        <w:smallCaps w:val="0"/>
        <w:strike w:val="0"/>
        <w:dstrike w:val="0"/>
        <w:noProof w:val="0"/>
        <w:vanish w:val="0"/>
        <w:color w:val="009FDA" w:themeColor="accent2"/>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94" w:hanging="794"/>
      </w:pPr>
      <w:rPr>
        <w:rFonts w:ascii="Verdana" w:hAnsi="Verdana" w:hint="default"/>
        <w:b/>
        <w:i w:val="0"/>
        <w:color w:val="5E6A71" w:themeColor="text2"/>
        <w:sz w:val="18"/>
      </w:rPr>
    </w:lvl>
    <w:lvl w:ilvl="3">
      <w:start w:val="1"/>
      <w:numFmt w:val="decimal"/>
      <w:pStyle w:val="Heading4"/>
      <w:lvlText w:val="%1.%2.%3.%4"/>
      <w:lvlJc w:val="left"/>
      <w:pPr>
        <w:ind w:left="794" w:hanging="794"/>
      </w:pPr>
      <w:rPr>
        <w:rFonts w:ascii="Verdana" w:hAnsi="Verdana" w:hint="default"/>
        <w:b w:val="0"/>
        <w:i/>
        <w:color w:val="5E6A71" w:themeColor="text2"/>
        <w:sz w:val="18"/>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9" w15:restartNumberingAfterBreak="0">
    <w:nsid w:val="48385F54"/>
    <w:multiLevelType w:val="hybridMultilevel"/>
    <w:tmpl w:val="24F090C0"/>
    <w:lvl w:ilvl="0" w:tplc="AEE61CD6">
      <w:start w:val="1"/>
      <w:numFmt w:val="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312C0"/>
    <w:multiLevelType w:val="hybridMultilevel"/>
    <w:tmpl w:val="BEB47A2A"/>
    <w:lvl w:ilvl="0" w:tplc="AEE61CD6">
      <w:start w:val="1"/>
      <w:numFmt w:val="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D513A"/>
    <w:multiLevelType w:val="hybridMultilevel"/>
    <w:tmpl w:val="9314E3F6"/>
    <w:lvl w:ilvl="0" w:tplc="AEE61CD6">
      <w:start w:val="1"/>
      <w:numFmt w:val="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B36772"/>
    <w:multiLevelType w:val="hybridMultilevel"/>
    <w:tmpl w:val="B170BDC4"/>
    <w:lvl w:ilvl="0" w:tplc="0E461920">
      <w:start w:val="1"/>
      <w:numFmt w:val="bullet"/>
      <w:pStyle w:val="CS-DualListBullet"/>
      <w:lvlText w:val=""/>
      <w:lvlJc w:val="left"/>
      <w:pPr>
        <w:ind w:left="720" w:hanging="360"/>
      </w:pPr>
      <w:rPr>
        <w:rFonts w:ascii="Wingdings" w:hAnsi="Wingdings" w:hint="default"/>
        <w:color w:val="009FDA" w:themeColor="accent2"/>
      </w:rPr>
    </w:lvl>
    <w:lvl w:ilvl="1" w:tplc="266E8EF6" w:tentative="1">
      <w:start w:val="1"/>
      <w:numFmt w:val="bullet"/>
      <w:lvlText w:val="o"/>
      <w:lvlJc w:val="left"/>
      <w:pPr>
        <w:ind w:left="1440" w:hanging="360"/>
      </w:pPr>
      <w:rPr>
        <w:rFonts w:ascii="Courier New" w:hAnsi="Courier New" w:cs="Courier New" w:hint="default"/>
      </w:rPr>
    </w:lvl>
    <w:lvl w:ilvl="2" w:tplc="1E9EF9C8" w:tentative="1">
      <w:start w:val="1"/>
      <w:numFmt w:val="bullet"/>
      <w:lvlText w:val=""/>
      <w:lvlJc w:val="left"/>
      <w:pPr>
        <w:ind w:left="2160" w:hanging="360"/>
      </w:pPr>
      <w:rPr>
        <w:rFonts w:ascii="Wingdings" w:hAnsi="Wingdings" w:hint="default"/>
      </w:rPr>
    </w:lvl>
    <w:lvl w:ilvl="3" w:tplc="15105300" w:tentative="1">
      <w:start w:val="1"/>
      <w:numFmt w:val="bullet"/>
      <w:lvlText w:val=""/>
      <w:lvlJc w:val="left"/>
      <w:pPr>
        <w:ind w:left="2880" w:hanging="360"/>
      </w:pPr>
      <w:rPr>
        <w:rFonts w:ascii="Symbol" w:hAnsi="Symbol" w:hint="default"/>
      </w:rPr>
    </w:lvl>
    <w:lvl w:ilvl="4" w:tplc="AA4A5AC0" w:tentative="1">
      <w:start w:val="1"/>
      <w:numFmt w:val="bullet"/>
      <w:lvlText w:val="o"/>
      <w:lvlJc w:val="left"/>
      <w:pPr>
        <w:ind w:left="3600" w:hanging="360"/>
      </w:pPr>
      <w:rPr>
        <w:rFonts w:ascii="Courier New" w:hAnsi="Courier New" w:cs="Courier New" w:hint="default"/>
      </w:rPr>
    </w:lvl>
    <w:lvl w:ilvl="5" w:tplc="09E4ACD0" w:tentative="1">
      <w:start w:val="1"/>
      <w:numFmt w:val="bullet"/>
      <w:lvlText w:val=""/>
      <w:lvlJc w:val="left"/>
      <w:pPr>
        <w:ind w:left="4320" w:hanging="360"/>
      </w:pPr>
      <w:rPr>
        <w:rFonts w:ascii="Wingdings" w:hAnsi="Wingdings" w:hint="default"/>
      </w:rPr>
    </w:lvl>
    <w:lvl w:ilvl="6" w:tplc="47B2DDC4" w:tentative="1">
      <w:start w:val="1"/>
      <w:numFmt w:val="bullet"/>
      <w:lvlText w:val=""/>
      <w:lvlJc w:val="left"/>
      <w:pPr>
        <w:ind w:left="5040" w:hanging="360"/>
      </w:pPr>
      <w:rPr>
        <w:rFonts w:ascii="Symbol" w:hAnsi="Symbol" w:hint="default"/>
      </w:rPr>
    </w:lvl>
    <w:lvl w:ilvl="7" w:tplc="27286FA6" w:tentative="1">
      <w:start w:val="1"/>
      <w:numFmt w:val="bullet"/>
      <w:lvlText w:val="o"/>
      <w:lvlJc w:val="left"/>
      <w:pPr>
        <w:ind w:left="5760" w:hanging="360"/>
      </w:pPr>
      <w:rPr>
        <w:rFonts w:ascii="Courier New" w:hAnsi="Courier New" w:cs="Courier New" w:hint="default"/>
      </w:rPr>
    </w:lvl>
    <w:lvl w:ilvl="8" w:tplc="A0BAAEB8" w:tentative="1">
      <w:start w:val="1"/>
      <w:numFmt w:val="bullet"/>
      <w:lvlText w:val=""/>
      <w:lvlJc w:val="left"/>
      <w:pPr>
        <w:ind w:left="6480" w:hanging="360"/>
      </w:pPr>
      <w:rPr>
        <w:rFonts w:ascii="Wingdings" w:hAnsi="Wingdings" w:hint="default"/>
      </w:rPr>
    </w:lvl>
  </w:abstractNum>
  <w:abstractNum w:abstractNumId="13" w15:restartNumberingAfterBreak="0">
    <w:nsid w:val="6A853467"/>
    <w:multiLevelType w:val="hybridMultilevel"/>
    <w:tmpl w:val="0A860076"/>
    <w:lvl w:ilvl="0" w:tplc="AEE61CD6">
      <w:start w:val="1"/>
      <w:numFmt w:val="bullet"/>
      <w:lvlText w:val=""/>
      <w:lvlJc w:val="left"/>
      <w:pPr>
        <w:ind w:left="1154" w:hanging="360"/>
      </w:pPr>
      <w:rPr>
        <w:rFonts w:ascii="Wingdings" w:hAnsi="Wingdings" w:hint="default"/>
        <w:color w:val="009FDA" w:themeColor="accent2"/>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72A151CD"/>
    <w:multiLevelType w:val="hybridMultilevel"/>
    <w:tmpl w:val="0E5E9074"/>
    <w:lvl w:ilvl="0" w:tplc="AEE61CD6">
      <w:start w:val="1"/>
      <w:numFmt w:val="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65C3D"/>
    <w:multiLevelType w:val="hybridMultilevel"/>
    <w:tmpl w:val="2D7A2938"/>
    <w:lvl w:ilvl="0" w:tplc="AEE61CD6">
      <w:start w:val="1"/>
      <w:numFmt w:val="bullet"/>
      <w:lvlText w:val=""/>
      <w:lvlJc w:val="left"/>
      <w:pPr>
        <w:ind w:left="720" w:hanging="360"/>
      </w:pPr>
      <w:rPr>
        <w:rFonts w:ascii="Wingdings" w:hAnsi="Wingdings" w:hint="default"/>
        <w:color w:val="009FDA"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B63E7"/>
    <w:multiLevelType w:val="multilevel"/>
    <w:tmpl w:val="78F4B4DC"/>
    <w:name w:val="ListRomansTT"/>
    <w:lvl w:ilvl="0">
      <w:start w:val="1"/>
      <w:numFmt w:val="lowerRoman"/>
      <w:pStyle w:val="ilist"/>
      <w:lvlText w:val="%1"/>
      <w:lvlJc w:val="left"/>
      <w:pPr>
        <w:tabs>
          <w:tab w:val="num" w:pos="1077"/>
        </w:tabs>
        <w:ind w:left="1077" w:hanging="283"/>
      </w:pPr>
      <w:rPr>
        <w:rFonts w:hint="default"/>
      </w:rPr>
    </w:lvl>
    <w:lvl w:ilvl="1">
      <w:start w:val="1"/>
      <w:numFmt w:val="lowerRoman"/>
      <w:pStyle w:val="ilist2"/>
      <w:lvlText w:val="%2"/>
      <w:lvlJc w:val="left"/>
      <w:pPr>
        <w:tabs>
          <w:tab w:val="num" w:pos="1361"/>
        </w:tabs>
        <w:ind w:left="1361" w:hanging="284"/>
      </w:pPr>
      <w:rPr>
        <w:rFonts w:hint="default"/>
      </w:rPr>
    </w:lvl>
    <w:lvl w:ilvl="2">
      <w:start w:val="1"/>
      <w:numFmt w:val="lowerRoman"/>
      <w:lvlRestart w:val="1"/>
      <w:pStyle w:val="ilist3"/>
      <w:lvlText w:val="%3"/>
      <w:lvlJc w:val="left"/>
      <w:pPr>
        <w:tabs>
          <w:tab w:val="num" w:pos="1644"/>
        </w:tabs>
        <w:ind w:left="1644" w:hanging="283"/>
      </w:pPr>
      <w:rPr>
        <w:rFonts w:hint="default"/>
      </w:rPr>
    </w:lvl>
    <w:lvl w:ilvl="3">
      <w:start w:val="1"/>
      <w:numFmt w:val="lowerRoman"/>
      <w:lvlRestart w:val="1"/>
      <w:pStyle w:val="ilist4"/>
      <w:lvlText w:val="%4"/>
      <w:lvlJc w:val="left"/>
      <w:pPr>
        <w:tabs>
          <w:tab w:val="num" w:pos="1928"/>
        </w:tabs>
        <w:ind w:left="1928" w:hanging="284"/>
      </w:pPr>
      <w:rPr>
        <w:rFonts w:hint="default"/>
      </w:rPr>
    </w:lvl>
    <w:lvl w:ilvl="4">
      <w:start w:val="1"/>
      <w:numFmt w:val="none"/>
      <w:lvlText w:val=""/>
      <w:lvlJc w:val="left"/>
      <w:pPr>
        <w:tabs>
          <w:tab w:val="num" w:pos="1928"/>
        </w:tabs>
        <w:ind w:left="1928" w:firstLine="0"/>
      </w:pPr>
      <w:rPr>
        <w:rFonts w:hint="default"/>
      </w:rPr>
    </w:lvl>
    <w:lvl w:ilvl="5">
      <w:start w:val="1"/>
      <w:numFmt w:val="none"/>
      <w:lvlText w:val=""/>
      <w:lvlJc w:val="left"/>
      <w:pPr>
        <w:ind w:left="1928" w:firstLine="0"/>
      </w:pPr>
      <w:rPr>
        <w:rFonts w:hint="default"/>
      </w:rPr>
    </w:lvl>
    <w:lvl w:ilvl="6">
      <w:start w:val="1"/>
      <w:numFmt w:val="none"/>
      <w:lvlText w:val=""/>
      <w:lvlJc w:val="left"/>
      <w:pPr>
        <w:ind w:left="1928" w:firstLine="0"/>
      </w:pPr>
      <w:rPr>
        <w:rFonts w:hint="default"/>
      </w:rPr>
    </w:lvl>
    <w:lvl w:ilvl="7">
      <w:start w:val="1"/>
      <w:numFmt w:val="none"/>
      <w:lvlText w:val=""/>
      <w:lvlJc w:val="left"/>
      <w:pPr>
        <w:ind w:left="1928" w:firstLine="0"/>
      </w:pPr>
      <w:rPr>
        <w:rFonts w:hint="default"/>
      </w:rPr>
    </w:lvl>
    <w:lvl w:ilvl="8">
      <w:start w:val="1"/>
      <w:numFmt w:val="none"/>
      <w:lvlText w:val=""/>
      <w:lvlJc w:val="left"/>
      <w:pPr>
        <w:ind w:left="1928" w:firstLine="952"/>
      </w:pPr>
      <w:rPr>
        <w:rFonts w:hint="default"/>
      </w:rPr>
    </w:lvl>
  </w:abstractNum>
  <w:abstractNum w:abstractNumId="17" w15:restartNumberingAfterBreak="0">
    <w:nsid w:val="7B455D41"/>
    <w:multiLevelType w:val="multilevel"/>
    <w:tmpl w:val="68CE264E"/>
    <w:name w:val="ListBulletsTT"/>
    <w:lvl w:ilvl="0">
      <w:start w:val="1"/>
      <w:numFmt w:val="bullet"/>
      <w:pStyle w:val="ListBullet"/>
      <w:lvlText w:val=""/>
      <w:lvlJc w:val="left"/>
      <w:pPr>
        <w:tabs>
          <w:tab w:val="num" w:pos="1077"/>
        </w:tabs>
        <w:ind w:left="1077" w:hanging="283"/>
      </w:pPr>
      <w:rPr>
        <w:rFonts w:ascii="Wingdings" w:hAnsi="Wingdings" w:hint="default"/>
        <w:color w:val="009FDA" w:themeColor="accent2"/>
      </w:rPr>
    </w:lvl>
    <w:lvl w:ilvl="1">
      <w:start w:val="1"/>
      <w:numFmt w:val="bullet"/>
      <w:pStyle w:val="ListBullet2"/>
      <w:lvlText w:val=""/>
      <w:lvlJc w:val="left"/>
      <w:pPr>
        <w:tabs>
          <w:tab w:val="num" w:pos="1361"/>
        </w:tabs>
        <w:ind w:left="1361" w:hanging="284"/>
      </w:pPr>
      <w:rPr>
        <w:rFonts w:ascii="Wingdings" w:hAnsi="Wingdings" w:hint="default"/>
        <w:color w:val="009FDA" w:themeColor="accent2"/>
      </w:rPr>
    </w:lvl>
    <w:lvl w:ilvl="2">
      <w:start w:val="1"/>
      <w:numFmt w:val="bullet"/>
      <w:pStyle w:val="ListBullet3"/>
      <w:lvlText w:val=""/>
      <w:lvlJc w:val="left"/>
      <w:pPr>
        <w:tabs>
          <w:tab w:val="num" w:pos="1644"/>
        </w:tabs>
        <w:ind w:left="1644" w:hanging="283"/>
      </w:pPr>
      <w:rPr>
        <w:rFonts w:ascii="Wingdings" w:hAnsi="Wingdings" w:hint="default"/>
        <w:color w:val="009FDA" w:themeColor="accent2"/>
      </w:rPr>
    </w:lvl>
    <w:lvl w:ilvl="3">
      <w:start w:val="1"/>
      <w:numFmt w:val="bullet"/>
      <w:pStyle w:val="ListBullet4"/>
      <w:lvlText w:val=""/>
      <w:lvlJc w:val="left"/>
      <w:pPr>
        <w:tabs>
          <w:tab w:val="num" w:pos="1928"/>
        </w:tabs>
        <w:ind w:left="1928" w:hanging="284"/>
      </w:pPr>
      <w:rPr>
        <w:rFonts w:ascii="Wingdings" w:hAnsi="Wingdings" w:hint="default"/>
        <w:color w:val="009FDA" w:themeColor="accent2"/>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num w:numId="1" w16cid:durableId="1002900741">
    <w:abstractNumId w:val="8"/>
  </w:num>
  <w:num w:numId="2" w16cid:durableId="569580440">
    <w:abstractNumId w:val="1"/>
  </w:num>
  <w:num w:numId="3" w16cid:durableId="831219039">
    <w:abstractNumId w:val="17"/>
  </w:num>
  <w:num w:numId="4" w16cid:durableId="1992638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3230032">
    <w:abstractNumId w:val="0"/>
  </w:num>
  <w:num w:numId="6" w16cid:durableId="162666811">
    <w:abstractNumId w:val="12"/>
  </w:num>
  <w:num w:numId="7" w16cid:durableId="464738997">
    <w:abstractNumId w:val="5"/>
  </w:num>
  <w:num w:numId="8" w16cid:durableId="1109204074">
    <w:abstractNumId w:val="16"/>
  </w:num>
  <w:num w:numId="9" w16cid:durableId="1162165624">
    <w:abstractNumId w:val="2"/>
  </w:num>
  <w:num w:numId="10" w16cid:durableId="1290043040">
    <w:abstractNumId w:val="15"/>
  </w:num>
  <w:num w:numId="11" w16cid:durableId="526910680">
    <w:abstractNumId w:val="10"/>
  </w:num>
  <w:num w:numId="12" w16cid:durableId="341713284">
    <w:abstractNumId w:val="11"/>
  </w:num>
  <w:num w:numId="13" w16cid:durableId="248662411">
    <w:abstractNumId w:val="9"/>
  </w:num>
  <w:num w:numId="14" w16cid:durableId="763569841">
    <w:abstractNumId w:val="14"/>
  </w:num>
  <w:num w:numId="15" w16cid:durableId="964458447">
    <w:abstractNumId w:val="4"/>
  </w:num>
  <w:num w:numId="16" w16cid:durableId="855388754">
    <w:abstractNumId w:val="7"/>
  </w:num>
  <w:num w:numId="17" w16cid:durableId="328948267">
    <w:abstractNumId w:val="13"/>
  </w:num>
  <w:num w:numId="18" w16cid:durableId="13857062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LockTheme/>
  <w:styleLockQFSet/>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555"/>
    <w:rsid w:val="000009BA"/>
    <w:rsid w:val="00000CEA"/>
    <w:rsid w:val="0000104F"/>
    <w:rsid w:val="00001A00"/>
    <w:rsid w:val="00001A92"/>
    <w:rsid w:val="00002897"/>
    <w:rsid w:val="000029D8"/>
    <w:rsid w:val="00004188"/>
    <w:rsid w:val="00004A1A"/>
    <w:rsid w:val="00005615"/>
    <w:rsid w:val="00006B0D"/>
    <w:rsid w:val="0000718A"/>
    <w:rsid w:val="00007E89"/>
    <w:rsid w:val="000102A5"/>
    <w:rsid w:val="0001077D"/>
    <w:rsid w:val="000107DA"/>
    <w:rsid w:val="00010D00"/>
    <w:rsid w:val="00011D28"/>
    <w:rsid w:val="00012268"/>
    <w:rsid w:val="00013EE0"/>
    <w:rsid w:val="0001497D"/>
    <w:rsid w:val="000171A5"/>
    <w:rsid w:val="00017FDC"/>
    <w:rsid w:val="00020030"/>
    <w:rsid w:val="0002222C"/>
    <w:rsid w:val="00024B26"/>
    <w:rsid w:val="00026DB8"/>
    <w:rsid w:val="00027912"/>
    <w:rsid w:val="000306DC"/>
    <w:rsid w:val="000314B2"/>
    <w:rsid w:val="000326C2"/>
    <w:rsid w:val="000331B8"/>
    <w:rsid w:val="0003544C"/>
    <w:rsid w:val="000355E2"/>
    <w:rsid w:val="000356D2"/>
    <w:rsid w:val="000362D1"/>
    <w:rsid w:val="000372DE"/>
    <w:rsid w:val="00040019"/>
    <w:rsid w:val="0004012A"/>
    <w:rsid w:val="00040688"/>
    <w:rsid w:val="00040E33"/>
    <w:rsid w:val="000412CE"/>
    <w:rsid w:val="0004242E"/>
    <w:rsid w:val="000435D4"/>
    <w:rsid w:val="0004438C"/>
    <w:rsid w:val="00045738"/>
    <w:rsid w:val="0004644B"/>
    <w:rsid w:val="000466F2"/>
    <w:rsid w:val="0004723A"/>
    <w:rsid w:val="00051091"/>
    <w:rsid w:val="00051FBD"/>
    <w:rsid w:val="000544E0"/>
    <w:rsid w:val="00055860"/>
    <w:rsid w:val="00055A1D"/>
    <w:rsid w:val="000560C6"/>
    <w:rsid w:val="00056600"/>
    <w:rsid w:val="000576B7"/>
    <w:rsid w:val="00057766"/>
    <w:rsid w:val="00061416"/>
    <w:rsid w:val="00061508"/>
    <w:rsid w:val="000631A8"/>
    <w:rsid w:val="00063E95"/>
    <w:rsid w:val="00063F84"/>
    <w:rsid w:val="0006473E"/>
    <w:rsid w:val="000647A7"/>
    <w:rsid w:val="00065398"/>
    <w:rsid w:val="00066165"/>
    <w:rsid w:val="000677A7"/>
    <w:rsid w:val="00067C35"/>
    <w:rsid w:val="00071CA6"/>
    <w:rsid w:val="00072B49"/>
    <w:rsid w:val="00075778"/>
    <w:rsid w:val="000757C0"/>
    <w:rsid w:val="00075CAC"/>
    <w:rsid w:val="00076DBC"/>
    <w:rsid w:val="0007793F"/>
    <w:rsid w:val="00077E13"/>
    <w:rsid w:val="000827C0"/>
    <w:rsid w:val="00083833"/>
    <w:rsid w:val="00087DDD"/>
    <w:rsid w:val="000901C1"/>
    <w:rsid w:val="0009020A"/>
    <w:rsid w:val="000908B8"/>
    <w:rsid w:val="00090BFA"/>
    <w:rsid w:val="000952C2"/>
    <w:rsid w:val="000959B6"/>
    <w:rsid w:val="000A0194"/>
    <w:rsid w:val="000A0261"/>
    <w:rsid w:val="000A2135"/>
    <w:rsid w:val="000A2EAA"/>
    <w:rsid w:val="000A53BF"/>
    <w:rsid w:val="000A6FA8"/>
    <w:rsid w:val="000B0882"/>
    <w:rsid w:val="000B2ED3"/>
    <w:rsid w:val="000B383D"/>
    <w:rsid w:val="000B3B30"/>
    <w:rsid w:val="000B5173"/>
    <w:rsid w:val="000B5452"/>
    <w:rsid w:val="000B6497"/>
    <w:rsid w:val="000B6E89"/>
    <w:rsid w:val="000B7667"/>
    <w:rsid w:val="000B77C1"/>
    <w:rsid w:val="000C0286"/>
    <w:rsid w:val="000C140A"/>
    <w:rsid w:val="000C1FD3"/>
    <w:rsid w:val="000C276E"/>
    <w:rsid w:val="000C3937"/>
    <w:rsid w:val="000C4917"/>
    <w:rsid w:val="000C5857"/>
    <w:rsid w:val="000C64BD"/>
    <w:rsid w:val="000C70E5"/>
    <w:rsid w:val="000C7A3D"/>
    <w:rsid w:val="000C7BA0"/>
    <w:rsid w:val="000C7BA5"/>
    <w:rsid w:val="000D0247"/>
    <w:rsid w:val="000D038B"/>
    <w:rsid w:val="000D0D27"/>
    <w:rsid w:val="000D1626"/>
    <w:rsid w:val="000D1BCD"/>
    <w:rsid w:val="000D1E83"/>
    <w:rsid w:val="000D2D47"/>
    <w:rsid w:val="000D3813"/>
    <w:rsid w:val="000D41CF"/>
    <w:rsid w:val="000D4E1F"/>
    <w:rsid w:val="000D4FB1"/>
    <w:rsid w:val="000D751B"/>
    <w:rsid w:val="000E0491"/>
    <w:rsid w:val="000E0D1D"/>
    <w:rsid w:val="000E0FA2"/>
    <w:rsid w:val="000E14BE"/>
    <w:rsid w:val="000E2F09"/>
    <w:rsid w:val="000E3548"/>
    <w:rsid w:val="000E3C81"/>
    <w:rsid w:val="000E3E84"/>
    <w:rsid w:val="000E53E9"/>
    <w:rsid w:val="000E556C"/>
    <w:rsid w:val="000E5A3C"/>
    <w:rsid w:val="000E694F"/>
    <w:rsid w:val="000E7256"/>
    <w:rsid w:val="000E729F"/>
    <w:rsid w:val="000E72E6"/>
    <w:rsid w:val="000E78C3"/>
    <w:rsid w:val="000F06FB"/>
    <w:rsid w:val="000F1A4F"/>
    <w:rsid w:val="000F4544"/>
    <w:rsid w:val="000F5606"/>
    <w:rsid w:val="000F74C8"/>
    <w:rsid w:val="000F77A0"/>
    <w:rsid w:val="000F78B8"/>
    <w:rsid w:val="00101FBE"/>
    <w:rsid w:val="001042E2"/>
    <w:rsid w:val="00106A43"/>
    <w:rsid w:val="0010780C"/>
    <w:rsid w:val="00107CC8"/>
    <w:rsid w:val="00110DE4"/>
    <w:rsid w:val="00112D5E"/>
    <w:rsid w:val="00114959"/>
    <w:rsid w:val="00114E53"/>
    <w:rsid w:val="001162CC"/>
    <w:rsid w:val="0011740F"/>
    <w:rsid w:val="00120FE6"/>
    <w:rsid w:val="0012152C"/>
    <w:rsid w:val="00121E91"/>
    <w:rsid w:val="00124071"/>
    <w:rsid w:val="00125578"/>
    <w:rsid w:val="00126231"/>
    <w:rsid w:val="00127079"/>
    <w:rsid w:val="001302E7"/>
    <w:rsid w:val="00130E17"/>
    <w:rsid w:val="00131F98"/>
    <w:rsid w:val="001331F0"/>
    <w:rsid w:val="0013455C"/>
    <w:rsid w:val="00134F4E"/>
    <w:rsid w:val="00135D49"/>
    <w:rsid w:val="0013665C"/>
    <w:rsid w:val="00137370"/>
    <w:rsid w:val="00140FAC"/>
    <w:rsid w:val="00142122"/>
    <w:rsid w:val="00142BBB"/>
    <w:rsid w:val="001431D3"/>
    <w:rsid w:val="00146B3B"/>
    <w:rsid w:val="00146E96"/>
    <w:rsid w:val="001477C6"/>
    <w:rsid w:val="00147909"/>
    <w:rsid w:val="00147993"/>
    <w:rsid w:val="00150264"/>
    <w:rsid w:val="00153396"/>
    <w:rsid w:val="00154976"/>
    <w:rsid w:val="00156573"/>
    <w:rsid w:val="00156F39"/>
    <w:rsid w:val="001603D4"/>
    <w:rsid w:val="00160933"/>
    <w:rsid w:val="00161613"/>
    <w:rsid w:val="00161F59"/>
    <w:rsid w:val="001630FB"/>
    <w:rsid w:val="001645BA"/>
    <w:rsid w:val="00165069"/>
    <w:rsid w:val="00165089"/>
    <w:rsid w:val="0016546E"/>
    <w:rsid w:val="00165AA2"/>
    <w:rsid w:val="001666E9"/>
    <w:rsid w:val="001674AE"/>
    <w:rsid w:val="00170AD2"/>
    <w:rsid w:val="00170FD8"/>
    <w:rsid w:val="00171193"/>
    <w:rsid w:val="00172224"/>
    <w:rsid w:val="00172D31"/>
    <w:rsid w:val="00172E4C"/>
    <w:rsid w:val="00175893"/>
    <w:rsid w:val="00175F7C"/>
    <w:rsid w:val="00181088"/>
    <w:rsid w:val="00181A5E"/>
    <w:rsid w:val="00182FDE"/>
    <w:rsid w:val="001833C0"/>
    <w:rsid w:val="0018363A"/>
    <w:rsid w:val="001837A7"/>
    <w:rsid w:val="00184432"/>
    <w:rsid w:val="00184EAD"/>
    <w:rsid w:val="00185CAF"/>
    <w:rsid w:val="0018714B"/>
    <w:rsid w:val="001905C5"/>
    <w:rsid w:val="00191CAA"/>
    <w:rsid w:val="001925D5"/>
    <w:rsid w:val="00193DBE"/>
    <w:rsid w:val="00193F1B"/>
    <w:rsid w:val="00194F03"/>
    <w:rsid w:val="00195435"/>
    <w:rsid w:val="001A0594"/>
    <w:rsid w:val="001A063E"/>
    <w:rsid w:val="001A340F"/>
    <w:rsid w:val="001A4C41"/>
    <w:rsid w:val="001A755E"/>
    <w:rsid w:val="001A7657"/>
    <w:rsid w:val="001A7E5D"/>
    <w:rsid w:val="001B0084"/>
    <w:rsid w:val="001B0C18"/>
    <w:rsid w:val="001B184D"/>
    <w:rsid w:val="001B257B"/>
    <w:rsid w:val="001B6A64"/>
    <w:rsid w:val="001B7B5E"/>
    <w:rsid w:val="001C0028"/>
    <w:rsid w:val="001C157E"/>
    <w:rsid w:val="001C1693"/>
    <w:rsid w:val="001C2C7B"/>
    <w:rsid w:val="001C492C"/>
    <w:rsid w:val="001C4C29"/>
    <w:rsid w:val="001C4FF5"/>
    <w:rsid w:val="001C5162"/>
    <w:rsid w:val="001C5297"/>
    <w:rsid w:val="001C529B"/>
    <w:rsid w:val="001C6528"/>
    <w:rsid w:val="001C6868"/>
    <w:rsid w:val="001C7B37"/>
    <w:rsid w:val="001C7E88"/>
    <w:rsid w:val="001D0211"/>
    <w:rsid w:val="001D3310"/>
    <w:rsid w:val="001D3BA1"/>
    <w:rsid w:val="001D3E61"/>
    <w:rsid w:val="001D4548"/>
    <w:rsid w:val="001D5A8A"/>
    <w:rsid w:val="001D6D8C"/>
    <w:rsid w:val="001E1896"/>
    <w:rsid w:val="001E2DB8"/>
    <w:rsid w:val="001E4485"/>
    <w:rsid w:val="001E481C"/>
    <w:rsid w:val="001E6150"/>
    <w:rsid w:val="001E63C5"/>
    <w:rsid w:val="001F1DFA"/>
    <w:rsid w:val="001F2C49"/>
    <w:rsid w:val="001F32DE"/>
    <w:rsid w:val="001F33D4"/>
    <w:rsid w:val="001F3F8C"/>
    <w:rsid w:val="001F4645"/>
    <w:rsid w:val="001F5A73"/>
    <w:rsid w:val="001F6780"/>
    <w:rsid w:val="001F6BF2"/>
    <w:rsid w:val="0020056C"/>
    <w:rsid w:val="0020220A"/>
    <w:rsid w:val="0020242B"/>
    <w:rsid w:val="00202A0C"/>
    <w:rsid w:val="00204C7A"/>
    <w:rsid w:val="0020600B"/>
    <w:rsid w:val="0020713F"/>
    <w:rsid w:val="002134C0"/>
    <w:rsid w:val="00215496"/>
    <w:rsid w:val="0021549D"/>
    <w:rsid w:val="00216297"/>
    <w:rsid w:val="0021663B"/>
    <w:rsid w:val="002230A4"/>
    <w:rsid w:val="00223CAA"/>
    <w:rsid w:val="00223EF2"/>
    <w:rsid w:val="00223F5B"/>
    <w:rsid w:val="00224939"/>
    <w:rsid w:val="00224BC2"/>
    <w:rsid w:val="00226615"/>
    <w:rsid w:val="00226BA9"/>
    <w:rsid w:val="00230087"/>
    <w:rsid w:val="00232C55"/>
    <w:rsid w:val="00233A34"/>
    <w:rsid w:val="002346BD"/>
    <w:rsid w:val="00235969"/>
    <w:rsid w:val="00235BD4"/>
    <w:rsid w:val="00237684"/>
    <w:rsid w:val="00237DF2"/>
    <w:rsid w:val="00240D6A"/>
    <w:rsid w:val="00241FD3"/>
    <w:rsid w:val="0024530C"/>
    <w:rsid w:val="00246C49"/>
    <w:rsid w:val="0024712D"/>
    <w:rsid w:val="00247848"/>
    <w:rsid w:val="00250069"/>
    <w:rsid w:val="0025040F"/>
    <w:rsid w:val="00250B3B"/>
    <w:rsid w:val="00250D7B"/>
    <w:rsid w:val="00251143"/>
    <w:rsid w:val="00252738"/>
    <w:rsid w:val="00253167"/>
    <w:rsid w:val="00255A08"/>
    <w:rsid w:val="00260CF3"/>
    <w:rsid w:val="00262029"/>
    <w:rsid w:val="002633F0"/>
    <w:rsid w:val="002635AF"/>
    <w:rsid w:val="00266075"/>
    <w:rsid w:val="00270606"/>
    <w:rsid w:val="00270769"/>
    <w:rsid w:val="0027142C"/>
    <w:rsid w:val="00271528"/>
    <w:rsid w:val="00271625"/>
    <w:rsid w:val="002717B7"/>
    <w:rsid w:val="00271868"/>
    <w:rsid w:val="002719F9"/>
    <w:rsid w:val="0027294C"/>
    <w:rsid w:val="002729BF"/>
    <w:rsid w:val="0027314E"/>
    <w:rsid w:val="00276D9E"/>
    <w:rsid w:val="0027725B"/>
    <w:rsid w:val="00283529"/>
    <w:rsid w:val="00285AF5"/>
    <w:rsid w:val="002903F5"/>
    <w:rsid w:val="002922CA"/>
    <w:rsid w:val="00292AB7"/>
    <w:rsid w:val="00294070"/>
    <w:rsid w:val="00294516"/>
    <w:rsid w:val="00295BF6"/>
    <w:rsid w:val="002969A1"/>
    <w:rsid w:val="00296D91"/>
    <w:rsid w:val="002A09BE"/>
    <w:rsid w:val="002A0CF1"/>
    <w:rsid w:val="002A1D6B"/>
    <w:rsid w:val="002A2DE1"/>
    <w:rsid w:val="002A78F2"/>
    <w:rsid w:val="002B01D9"/>
    <w:rsid w:val="002B2437"/>
    <w:rsid w:val="002B398E"/>
    <w:rsid w:val="002B49DA"/>
    <w:rsid w:val="002B4A49"/>
    <w:rsid w:val="002B519E"/>
    <w:rsid w:val="002B5F7E"/>
    <w:rsid w:val="002B78B9"/>
    <w:rsid w:val="002C05B7"/>
    <w:rsid w:val="002C2C06"/>
    <w:rsid w:val="002C4424"/>
    <w:rsid w:val="002C56EB"/>
    <w:rsid w:val="002C6DEF"/>
    <w:rsid w:val="002C7BC8"/>
    <w:rsid w:val="002D1C90"/>
    <w:rsid w:val="002D22EF"/>
    <w:rsid w:val="002D3366"/>
    <w:rsid w:val="002D41A3"/>
    <w:rsid w:val="002D4220"/>
    <w:rsid w:val="002E057D"/>
    <w:rsid w:val="002E0A6E"/>
    <w:rsid w:val="002E4E8E"/>
    <w:rsid w:val="002E518C"/>
    <w:rsid w:val="002E608E"/>
    <w:rsid w:val="002F2E78"/>
    <w:rsid w:val="002F38F3"/>
    <w:rsid w:val="002F4028"/>
    <w:rsid w:val="002F4CC0"/>
    <w:rsid w:val="00300093"/>
    <w:rsid w:val="003002A9"/>
    <w:rsid w:val="00300D75"/>
    <w:rsid w:val="00301B9D"/>
    <w:rsid w:val="0030338A"/>
    <w:rsid w:val="0030490E"/>
    <w:rsid w:val="00305D73"/>
    <w:rsid w:val="00307182"/>
    <w:rsid w:val="0031021F"/>
    <w:rsid w:val="003121AE"/>
    <w:rsid w:val="00312F7D"/>
    <w:rsid w:val="00315947"/>
    <w:rsid w:val="00315A87"/>
    <w:rsid w:val="003160C8"/>
    <w:rsid w:val="003175D5"/>
    <w:rsid w:val="00320884"/>
    <w:rsid w:val="00320EF7"/>
    <w:rsid w:val="003242EB"/>
    <w:rsid w:val="00324626"/>
    <w:rsid w:val="0032611C"/>
    <w:rsid w:val="0032628A"/>
    <w:rsid w:val="00326C6A"/>
    <w:rsid w:val="00326DF7"/>
    <w:rsid w:val="0032750C"/>
    <w:rsid w:val="003305FA"/>
    <w:rsid w:val="00331534"/>
    <w:rsid w:val="003319FF"/>
    <w:rsid w:val="00332733"/>
    <w:rsid w:val="00333CF9"/>
    <w:rsid w:val="003346F6"/>
    <w:rsid w:val="00334AAF"/>
    <w:rsid w:val="003358FC"/>
    <w:rsid w:val="00335B41"/>
    <w:rsid w:val="00336168"/>
    <w:rsid w:val="00340DE2"/>
    <w:rsid w:val="00341E6C"/>
    <w:rsid w:val="00342441"/>
    <w:rsid w:val="00342B6E"/>
    <w:rsid w:val="00343082"/>
    <w:rsid w:val="00344E29"/>
    <w:rsid w:val="00346806"/>
    <w:rsid w:val="00346E43"/>
    <w:rsid w:val="00346FD2"/>
    <w:rsid w:val="003477F3"/>
    <w:rsid w:val="00350FF5"/>
    <w:rsid w:val="003511BF"/>
    <w:rsid w:val="0035525E"/>
    <w:rsid w:val="00362C38"/>
    <w:rsid w:val="0036394E"/>
    <w:rsid w:val="003649B0"/>
    <w:rsid w:val="003673CB"/>
    <w:rsid w:val="00370560"/>
    <w:rsid w:val="00372564"/>
    <w:rsid w:val="003739E4"/>
    <w:rsid w:val="00374C0F"/>
    <w:rsid w:val="003757A6"/>
    <w:rsid w:val="0037654E"/>
    <w:rsid w:val="0037670A"/>
    <w:rsid w:val="00377719"/>
    <w:rsid w:val="00380175"/>
    <w:rsid w:val="00381232"/>
    <w:rsid w:val="0038165C"/>
    <w:rsid w:val="003827D4"/>
    <w:rsid w:val="003833AA"/>
    <w:rsid w:val="00383B5D"/>
    <w:rsid w:val="00386095"/>
    <w:rsid w:val="003868DB"/>
    <w:rsid w:val="0038769F"/>
    <w:rsid w:val="0039046C"/>
    <w:rsid w:val="0039506B"/>
    <w:rsid w:val="003958BA"/>
    <w:rsid w:val="003962DE"/>
    <w:rsid w:val="00397E25"/>
    <w:rsid w:val="003A181E"/>
    <w:rsid w:val="003A1EC0"/>
    <w:rsid w:val="003A3330"/>
    <w:rsid w:val="003A362A"/>
    <w:rsid w:val="003A36C1"/>
    <w:rsid w:val="003A3A6A"/>
    <w:rsid w:val="003A59AB"/>
    <w:rsid w:val="003A70C4"/>
    <w:rsid w:val="003A70CC"/>
    <w:rsid w:val="003B129A"/>
    <w:rsid w:val="003B209D"/>
    <w:rsid w:val="003B39A7"/>
    <w:rsid w:val="003B43DD"/>
    <w:rsid w:val="003B4656"/>
    <w:rsid w:val="003B5239"/>
    <w:rsid w:val="003B5EBC"/>
    <w:rsid w:val="003B6FCF"/>
    <w:rsid w:val="003B7440"/>
    <w:rsid w:val="003C04D8"/>
    <w:rsid w:val="003C126E"/>
    <w:rsid w:val="003C216D"/>
    <w:rsid w:val="003C3DE8"/>
    <w:rsid w:val="003C5095"/>
    <w:rsid w:val="003C5292"/>
    <w:rsid w:val="003C6061"/>
    <w:rsid w:val="003C699F"/>
    <w:rsid w:val="003C7301"/>
    <w:rsid w:val="003D015F"/>
    <w:rsid w:val="003D0454"/>
    <w:rsid w:val="003D0C20"/>
    <w:rsid w:val="003D0D59"/>
    <w:rsid w:val="003D21DF"/>
    <w:rsid w:val="003D5D6B"/>
    <w:rsid w:val="003D6CDB"/>
    <w:rsid w:val="003E0FE8"/>
    <w:rsid w:val="003E1DD8"/>
    <w:rsid w:val="003E539C"/>
    <w:rsid w:val="003E5D44"/>
    <w:rsid w:val="003E63ED"/>
    <w:rsid w:val="003F00C9"/>
    <w:rsid w:val="003F0157"/>
    <w:rsid w:val="003F1AD7"/>
    <w:rsid w:val="003F2F10"/>
    <w:rsid w:val="003F3CD7"/>
    <w:rsid w:val="003F3D7E"/>
    <w:rsid w:val="003F60BD"/>
    <w:rsid w:val="003F6401"/>
    <w:rsid w:val="00402439"/>
    <w:rsid w:val="00402950"/>
    <w:rsid w:val="00404A96"/>
    <w:rsid w:val="00404C12"/>
    <w:rsid w:val="0040553F"/>
    <w:rsid w:val="0040629F"/>
    <w:rsid w:val="0040691C"/>
    <w:rsid w:val="00412FCA"/>
    <w:rsid w:val="004131E2"/>
    <w:rsid w:val="004146CF"/>
    <w:rsid w:val="0041532D"/>
    <w:rsid w:val="00415F9E"/>
    <w:rsid w:val="00417516"/>
    <w:rsid w:val="0041790E"/>
    <w:rsid w:val="00417EE9"/>
    <w:rsid w:val="0042015A"/>
    <w:rsid w:val="004204B8"/>
    <w:rsid w:val="00420864"/>
    <w:rsid w:val="00421ED1"/>
    <w:rsid w:val="0042241B"/>
    <w:rsid w:val="0042269B"/>
    <w:rsid w:val="004241AE"/>
    <w:rsid w:val="0042429A"/>
    <w:rsid w:val="0042473D"/>
    <w:rsid w:val="00425038"/>
    <w:rsid w:val="00425127"/>
    <w:rsid w:val="004254C7"/>
    <w:rsid w:val="004328A6"/>
    <w:rsid w:val="00435BA0"/>
    <w:rsid w:val="004360C6"/>
    <w:rsid w:val="004366DC"/>
    <w:rsid w:val="00436869"/>
    <w:rsid w:val="00436A6D"/>
    <w:rsid w:val="00436E86"/>
    <w:rsid w:val="004404FD"/>
    <w:rsid w:val="00440AFC"/>
    <w:rsid w:val="00441AB4"/>
    <w:rsid w:val="00444BAE"/>
    <w:rsid w:val="00446436"/>
    <w:rsid w:val="004473D3"/>
    <w:rsid w:val="00450667"/>
    <w:rsid w:val="004520DC"/>
    <w:rsid w:val="004528E7"/>
    <w:rsid w:val="00453154"/>
    <w:rsid w:val="004533A2"/>
    <w:rsid w:val="00453AA4"/>
    <w:rsid w:val="00453FD6"/>
    <w:rsid w:val="00454B6B"/>
    <w:rsid w:val="0045520B"/>
    <w:rsid w:val="004560CB"/>
    <w:rsid w:val="00456F96"/>
    <w:rsid w:val="0045702A"/>
    <w:rsid w:val="00457554"/>
    <w:rsid w:val="0045784C"/>
    <w:rsid w:val="00460025"/>
    <w:rsid w:val="0046053F"/>
    <w:rsid w:val="004612C9"/>
    <w:rsid w:val="00461F7F"/>
    <w:rsid w:val="00462D6F"/>
    <w:rsid w:val="00462EA0"/>
    <w:rsid w:val="00464623"/>
    <w:rsid w:val="0046462A"/>
    <w:rsid w:val="004659E2"/>
    <w:rsid w:val="00465F3C"/>
    <w:rsid w:val="00467555"/>
    <w:rsid w:val="004678C4"/>
    <w:rsid w:val="00470FFE"/>
    <w:rsid w:val="00474033"/>
    <w:rsid w:val="004755D6"/>
    <w:rsid w:val="00475D35"/>
    <w:rsid w:val="00476715"/>
    <w:rsid w:val="004767FF"/>
    <w:rsid w:val="00477575"/>
    <w:rsid w:val="00481FA4"/>
    <w:rsid w:val="004825DB"/>
    <w:rsid w:val="00482D33"/>
    <w:rsid w:val="00482DF7"/>
    <w:rsid w:val="0048427C"/>
    <w:rsid w:val="0048459F"/>
    <w:rsid w:val="004851E5"/>
    <w:rsid w:val="0048634F"/>
    <w:rsid w:val="00486ACD"/>
    <w:rsid w:val="0048735E"/>
    <w:rsid w:val="00490880"/>
    <w:rsid w:val="004920EB"/>
    <w:rsid w:val="00492A7F"/>
    <w:rsid w:val="004949B0"/>
    <w:rsid w:val="004949D5"/>
    <w:rsid w:val="00494FAA"/>
    <w:rsid w:val="00496B44"/>
    <w:rsid w:val="00497034"/>
    <w:rsid w:val="0049750B"/>
    <w:rsid w:val="004A0969"/>
    <w:rsid w:val="004A0DB9"/>
    <w:rsid w:val="004A1475"/>
    <w:rsid w:val="004A1D9D"/>
    <w:rsid w:val="004A1DF6"/>
    <w:rsid w:val="004A284E"/>
    <w:rsid w:val="004A2C52"/>
    <w:rsid w:val="004A4BA3"/>
    <w:rsid w:val="004A4EC4"/>
    <w:rsid w:val="004A4F43"/>
    <w:rsid w:val="004A5312"/>
    <w:rsid w:val="004A6BBD"/>
    <w:rsid w:val="004A6F04"/>
    <w:rsid w:val="004B0266"/>
    <w:rsid w:val="004B0B44"/>
    <w:rsid w:val="004B35F9"/>
    <w:rsid w:val="004B3B31"/>
    <w:rsid w:val="004B5BDB"/>
    <w:rsid w:val="004B63BB"/>
    <w:rsid w:val="004B7F56"/>
    <w:rsid w:val="004C06E9"/>
    <w:rsid w:val="004C11B4"/>
    <w:rsid w:val="004C1C07"/>
    <w:rsid w:val="004C2B92"/>
    <w:rsid w:val="004C3EDC"/>
    <w:rsid w:val="004C5942"/>
    <w:rsid w:val="004C65E3"/>
    <w:rsid w:val="004C7173"/>
    <w:rsid w:val="004D0BAA"/>
    <w:rsid w:val="004D0C4A"/>
    <w:rsid w:val="004D134E"/>
    <w:rsid w:val="004D4597"/>
    <w:rsid w:val="004D4E75"/>
    <w:rsid w:val="004E1541"/>
    <w:rsid w:val="004E21E3"/>
    <w:rsid w:val="004E29EF"/>
    <w:rsid w:val="004E2D9A"/>
    <w:rsid w:val="004E354C"/>
    <w:rsid w:val="004E377F"/>
    <w:rsid w:val="004E3949"/>
    <w:rsid w:val="004E4275"/>
    <w:rsid w:val="004E577B"/>
    <w:rsid w:val="004F0192"/>
    <w:rsid w:val="004F068B"/>
    <w:rsid w:val="004F0BB6"/>
    <w:rsid w:val="004F1668"/>
    <w:rsid w:val="004F2CE6"/>
    <w:rsid w:val="004F492A"/>
    <w:rsid w:val="004F5568"/>
    <w:rsid w:val="004F6CB3"/>
    <w:rsid w:val="00501088"/>
    <w:rsid w:val="00502DD1"/>
    <w:rsid w:val="005032C0"/>
    <w:rsid w:val="00503C8B"/>
    <w:rsid w:val="00503D5A"/>
    <w:rsid w:val="005053F7"/>
    <w:rsid w:val="00505E29"/>
    <w:rsid w:val="00511280"/>
    <w:rsid w:val="005114D8"/>
    <w:rsid w:val="00511DD4"/>
    <w:rsid w:val="0051260A"/>
    <w:rsid w:val="00513A85"/>
    <w:rsid w:val="00513B41"/>
    <w:rsid w:val="00514479"/>
    <w:rsid w:val="00514B04"/>
    <w:rsid w:val="00514E1E"/>
    <w:rsid w:val="00516F1D"/>
    <w:rsid w:val="00517024"/>
    <w:rsid w:val="00520541"/>
    <w:rsid w:val="00521AFF"/>
    <w:rsid w:val="00522510"/>
    <w:rsid w:val="00522F8A"/>
    <w:rsid w:val="0052458A"/>
    <w:rsid w:val="00524E24"/>
    <w:rsid w:val="00524EBE"/>
    <w:rsid w:val="00527BE0"/>
    <w:rsid w:val="00532DEF"/>
    <w:rsid w:val="00533027"/>
    <w:rsid w:val="00533940"/>
    <w:rsid w:val="00533CFF"/>
    <w:rsid w:val="00534273"/>
    <w:rsid w:val="00534289"/>
    <w:rsid w:val="0053507F"/>
    <w:rsid w:val="0053522C"/>
    <w:rsid w:val="005356BC"/>
    <w:rsid w:val="005369F7"/>
    <w:rsid w:val="00536F51"/>
    <w:rsid w:val="00540297"/>
    <w:rsid w:val="00540F99"/>
    <w:rsid w:val="00541446"/>
    <w:rsid w:val="005418AD"/>
    <w:rsid w:val="00541BE0"/>
    <w:rsid w:val="005420FC"/>
    <w:rsid w:val="0054257C"/>
    <w:rsid w:val="0054427A"/>
    <w:rsid w:val="005446F5"/>
    <w:rsid w:val="00545020"/>
    <w:rsid w:val="00545B9C"/>
    <w:rsid w:val="00546D41"/>
    <w:rsid w:val="00547861"/>
    <w:rsid w:val="005504BF"/>
    <w:rsid w:val="00551303"/>
    <w:rsid w:val="005529C5"/>
    <w:rsid w:val="00552F32"/>
    <w:rsid w:val="00553033"/>
    <w:rsid w:val="00553139"/>
    <w:rsid w:val="005540D4"/>
    <w:rsid w:val="005544E7"/>
    <w:rsid w:val="0055607C"/>
    <w:rsid w:val="00556B3B"/>
    <w:rsid w:val="00556EBC"/>
    <w:rsid w:val="00557A89"/>
    <w:rsid w:val="005603F3"/>
    <w:rsid w:val="005655D1"/>
    <w:rsid w:val="0056669A"/>
    <w:rsid w:val="00570356"/>
    <w:rsid w:val="00570A15"/>
    <w:rsid w:val="00570C35"/>
    <w:rsid w:val="00571693"/>
    <w:rsid w:val="00573A8E"/>
    <w:rsid w:val="00575A3A"/>
    <w:rsid w:val="00575F33"/>
    <w:rsid w:val="005760A0"/>
    <w:rsid w:val="00576A77"/>
    <w:rsid w:val="0057720B"/>
    <w:rsid w:val="0058120D"/>
    <w:rsid w:val="00581381"/>
    <w:rsid w:val="005822FA"/>
    <w:rsid w:val="00584A1E"/>
    <w:rsid w:val="00584D85"/>
    <w:rsid w:val="0058515A"/>
    <w:rsid w:val="00585226"/>
    <w:rsid w:val="005856B6"/>
    <w:rsid w:val="00586DBF"/>
    <w:rsid w:val="005877D9"/>
    <w:rsid w:val="005912DF"/>
    <w:rsid w:val="0059243E"/>
    <w:rsid w:val="005939FF"/>
    <w:rsid w:val="00596AA8"/>
    <w:rsid w:val="00597D9E"/>
    <w:rsid w:val="005A1485"/>
    <w:rsid w:val="005A2E99"/>
    <w:rsid w:val="005A47A3"/>
    <w:rsid w:val="005A600E"/>
    <w:rsid w:val="005A640B"/>
    <w:rsid w:val="005A64E6"/>
    <w:rsid w:val="005A64EF"/>
    <w:rsid w:val="005B0981"/>
    <w:rsid w:val="005B149C"/>
    <w:rsid w:val="005B2D4A"/>
    <w:rsid w:val="005B5424"/>
    <w:rsid w:val="005B5E9C"/>
    <w:rsid w:val="005B5F1B"/>
    <w:rsid w:val="005B606B"/>
    <w:rsid w:val="005B6FAD"/>
    <w:rsid w:val="005B714E"/>
    <w:rsid w:val="005C044E"/>
    <w:rsid w:val="005C2057"/>
    <w:rsid w:val="005C2510"/>
    <w:rsid w:val="005C35A1"/>
    <w:rsid w:val="005C4435"/>
    <w:rsid w:val="005C5122"/>
    <w:rsid w:val="005C539B"/>
    <w:rsid w:val="005C56A5"/>
    <w:rsid w:val="005C6091"/>
    <w:rsid w:val="005C63E3"/>
    <w:rsid w:val="005C6B25"/>
    <w:rsid w:val="005C7273"/>
    <w:rsid w:val="005C7664"/>
    <w:rsid w:val="005D187A"/>
    <w:rsid w:val="005D271F"/>
    <w:rsid w:val="005D2729"/>
    <w:rsid w:val="005D2D75"/>
    <w:rsid w:val="005D2F66"/>
    <w:rsid w:val="005D34CE"/>
    <w:rsid w:val="005D3572"/>
    <w:rsid w:val="005D5B72"/>
    <w:rsid w:val="005D63C3"/>
    <w:rsid w:val="005D6CC5"/>
    <w:rsid w:val="005D7661"/>
    <w:rsid w:val="005E053A"/>
    <w:rsid w:val="005E0EC8"/>
    <w:rsid w:val="005E1980"/>
    <w:rsid w:val="005E1E9D"/>
    <w:rsid w:val="005E22E9"/>
    <w:rsid w:val="005E241F"/>
    <w:rsid w:val="005E30B2"/>
    <w:rsid w:val="005E3664"/>
    <w:rsid w:val="005E4A1B"/>
    <w:rsid w:val="005E4C15"/>
    <w:rsid w:val="005E6135"/>
    <w:rsid w:val="005E63B1"/>
    <w:rsid w:val="005F203E"/>
    <w:rsid w:val="005F3412"/>
    <w:rsid w:val="005F3864"/>
    <w:rsid w:val="005F6082"/>
    <w:rsid w:val="005F6BD9"/>
    <w:rsid w:val="005F735F"/>
    <w:rsid w:val="006022F9"/>
    <w:rsid w:val="006025DC"/>
    <w:rsid w:val="0060298C"/>
    <w:rsid w:val="00604945"/>
    <w:rsid w:val="0060689C"/>
    <w:rsid w:val="00611AD1"/>
    <w:rsid w:val="00613BB5"/>
    <w:rsid w:val="00613FB7"/>
    <w:rsid w:val="00614BF6"/>
    <w:rsid w:val="00615CE6"/>
    <w:rsid w:val="00616088"/>
    <w:rsid w:val="00616131"/>
    <w:rsid w:val="006178AC"/>
    <w:rsid w:val="00617DEB"/>
    <w:rsid w:val="006204FD"/>
    <w:rsid w:val="00621D55"/>
    <w:rsid w:val="0062295B"/>
    <w:rsid w:val="00626401"/>
    <w:rsid w:val="00626C24"/>
    <w:rsid w:val="0063070A"/>
    <w:rsid w:val="00630AC9"/>
    <w:rsid w:val="00630C40"/>
    <w:rsid w:val="00630E20"/>
    <w:rsid w:val="00634DC0"/>
    <w:rsid w:val="0063632B"/>
    <w:rsid w:val="00637517"/>
    <w:rsid w:val="0063752C"/>
    <w:rsid w:val="00641770"/>
    <w:rsid w:val="00641AB7"/>
    <w:rsid w:val="006423B2"/>
    <w:rsid w:val="0064397F"/>
    <w:rsid w:val="006440B0"/>
    <w:rsid w:val="0064509B"/>
    <w:rsid w:val="00647BBC"/>
    <w:rsid w:val="00647DC4"/>
    <w:rsid w:val="00650331"/>
    <w:rsid w:val="00650346"/>
    <w:rsid w:val="00650A96"/>
    <w:rsid w:val="00650AE6"/>
    <w:rsid w:val="00652F9C"/>
    <w:rsid w:val="0065477F"/>
    <w:rsid w:val="0065577B"/>
    <w:rsid w:val="00660C65"/>
    <w:rsid w:val="006618D8"/>
    <w:rsid w:val="006625BF"/>
    <w:rsid w:val="006629FA"/>
    <w:rsid w:val="00664026"/>
    <w:rsid w:val="00664704"/>
    <w:rsid w:val="00664DE3"/>
    <w:rsid w:val="00666E58"/>
    <w:rsid w:val="00666E72"/>
    <w:rsid w:val="00667459"/>
    <w:rsid w:val="006677B3"/>
    <w:rsid w:val="00670719"/>
    <w:rsid w:val="00671FE2"/>
    <w:rsid w:val="00673758"/>
    <w:rsid w:val="0067483B"/>
    <w:rsid w:val="00674FBE"/>
    <w:rsid w:val="006759AA"/>
    <w:rsid w:val="00675F30"/>
    <w:rsid w:val="00676251"/>
    <w:rsid w:val="0067761E"/>
    <w:rsid w:val="00680DE9"/>
    <w:rsid w:val="006839B3"/>
    <w:rsid w:val="006847D2"/>
    <w:rsid w:val="00685A9D"/>
    <w:rsid w:val="00687845"/>
    <w:rsid w:val="00687D82"/>
    <w:rsid w:val="00687F45"/>
    <w:rsid w:val="006903BD"/>
    <w:rsid w:val="00690923"/>
    <w:rsid w:val="00690D23"/>
    <w:rsid w:val="0069187E"/>
    <w:rsid w:val="006952F8"/>
    <w:rsid w:val="00696AA8"/>
    <w:rsid w:val="00697422"/>
    <w:rsid w:val="006A1EE4"/>
    <w:rsid w:val="006A3213"/>
    <w:rsid w:val="006A3C26"/>
    <w:rsid w:val="006A3FA7"/>
    <w:rsid w:val="006A46E2"/>
    <w:rsid w:val="006A4BC1"/>
    <w:rsid w:val="006A763F"/>
    <w:rsid w:val="006A7B6B"/>
    <w:rsid w:val="006B0C40"/>
    <w:rsid w:val="006B0EB3"/>
    <w:rsid w:val="006B1CDE"/>
    <w:rsid w:val="006B1FE5"/>
    <w:rsid w:val="006B33A7"/>
    <w:rsid w:val="006B41A6"/>
    <w:rsid w:val="006B68B9"/>
    <w:rsid w:val="006B7B56"/>
    <w:rsid w:val="006C0326"/>
    <w:rsid w:val="006C0343"/>
    <w:rsid w:val="006C25BE"/>
    <w:rsid w:val="006C28CD"/>
    <w:rsid w:val="006C2B76"/>
    <w:rsid w:val="006C4475"/>
    <w:rsid w:val="006C4816"/>
    <w:rsid w:val="006C7515"/>
    <w:rsid w:val="006D0338"/>
    <w:rsid w:val="006D09B9"/>
    <w:rsid w:val="006D0A06"/>
    <w:rsid w:val="006D0AF4"/>
    <w:rsid w:val="006D0D12"/>
    <w:rsid w:val="006D12ED"/>
    <w:rsid w:val="006D1AA7"/>
    <w:rsid w:val="006D2932"/>
    <w:rsid w:val="006D2C1F"/>
    <w:rsid w:val="006D34B0"/>
    <w:rsid w:val="006D36E1"/>
    <w:rsid w:val="006D495A"/>
    <w:rsid w:val="006E07AA"/>
    <w:rsid w:val="006E07FA"/>
    <w:rsid w:val="006E2779"/>
    <w:rsid w:val="006E451C"/>
    <w:rsid w:val="006E47C4"/>
    <w:rsid w:val="006E526C"/>
    <w:rsid w:val="006E6003"/>
    <w:rsid w:val="006E6487"/>
    <w:rsid w:val="006E6B3E"/>
    <w:rsid w:val="006E6D3D"/>
    <w:rsid w:val="006E7CC2"/>
    <w:rsid w:val="006F0195"/>
    <w:rsid w:val="006F21D7"/>
    <w:rsid w:val="006F47E4"/>
    <w:rsid w:val="006F551D"/>
    <w:rsid w:val="006F57DF"/>
    <w:rsid w:val="006F6580"/>
    <w:rsid w:val="006F6861"/>
    <w:rsid w:val="006F6E68"/>
    <w:rsid w:val="006F732D"/>
    <w:rsid w:val="006F78E6"/>
    <w:rsid w:val="006F7C03"/>
    <w:rsid w:val="0070006D"/>
    <w:rsid w:val="00700C78"/>
    <w:rsid w:val="00700F2F"/>
    <w:rsid w:val="00703DCD"/>
    <w:rsid w:val="00703E6C"/>
    <w:rsid w:val="0070504A"/>
    <w:rsid w:val="00705BC6"/>
    <w:rsid w:val="0070737F"/>
    <w:rsid w:val="00707ED9"/>
    <w:rsid w:val="00710937"/>
    <w:rsid w:val="007125C7"/>
    <w:rsid w:val="00714A92"/>
    <w:rsid w:val="007161D4"/>
    <w:rsid w:val="00716669"/>
    <w:rsid w:val="00717E09"/>
    <w:rsid w:val="00720206"/>
    <w:rsid w:val="00720BAA"/>
    <w:rsid w:val="007213EA"/>
    <w:rsid w:val="00721EE9"/>
    <w:rsid w:val="007226A5"/>
    <w:rsid w:val="00722D20"/>
    <w:rsid w:val="0072484D"/>
    <w:rsid w:val="00724DA0"/>
    <w:rsid w:val="00725941"/>
    <w:rsid w:val="0072757E"/>
    <w:rsid w:val="00727D7B"/>
    <w:rsid w:val="00731D6C"/>
    <w:rsid w:val="00733287"/>
    <w:rsid w:val="00733D9F"/>
    <w:rsid w:val="00734597"/>
    <w:rsid w:val="007355E5"/>
    <w:rsid w:val="00735702"/>
    <w:rsid w:val="00736909"/>
    <w:rsid w:val="007369AF"/>
    <w:rsid w:val="007371C3"/>
    <w:rsid w:val="007423AE"/>
    <w:rsid w:val="00742A4F"/>
    <w:rsid w:val="00743827"/>
    <w:rsid w:val="00744AA7"/>
    <w:rsid w:val="00746044"/>
    <w:rsid w:val="0074612F"/>
    <w:rsid w:val="007505B6"/>
    <w:rsid w:val="00752420"/>
    <w:rsid w:val="007531E3"/>
    <w:rsid w:val="0075367C"/>
    <w:rsid w:val="00753A43"/>
    <w:rsid w:val="007559C0"/>
    <w:rsid w:val="00756FD5"/>
    <w:rsid w:val="00757B7F"/>
    <w:rsid w:val="007629D2"/>
    <w:rsid w:val="00765060"/>
    <w:rsid w:val="0076551F"/>
    <w:rsid w:val="0076596E"/>
    <w:rsid w:val="00765A66"/>
    <w:rsid w:val="00765D77"/>
    <w:rsid w:val="00766529"/>
    <w:rsid w:val="007665CE"/>
    <w:rsid w:val="007704E6"/>
    <w:rsid w:val="00771253"/>
    <w:rsid w:val="00773850"/>
    <w:rsid w:val="0077403D"/>
    <w:rsid w:val="00775E7C"/>
    <w:rsid w:val="0077736E"/>
    <w:rsid w:val="00777B8E"/>
    <w:rsid w:val="00777ED3"/>
    <w:rsid w:val="00780202"/>
    <w:rsid w:val="00781036"/>
    <w:rsid w:val="00781D68"/>
    <w:rsid w:val="00782E15"/>
    <w:rsid w:val="00782E55"/>
    <w:rsid w:val="0078371F"/>
    <w:rsid w:val="00784045"/>
    <w:rsid w:val="0078477A"/>
    <w:rsid w:val="007868A7"/>
    <w:rsid w:val="00791360"/>
    <w:rsid w:val="007920E3"/>
    <w:rsid w:val="00792A4B"/>
    <w:rsid w:val="00793664"/>
    <w:rsid w:val="00794E83"/>
    <w:rsid w:val="00796B87"/>
    <w:rsid w:val="007A08E1"/>
    <w:rsid w:val="007A0E32"/>
    <w:rsid w:val="007A140C"/>
    <w:rsid w:val="007A15B6"/>
    <w:rsid w:val="007A1FF4"/>
    <w:rsid w:val="007A2A6D"/>
    <w:rsid w:val="007A2D07"/>
    <w:rsid w:val="007A2D3E"/>
    <w:rsid w:val="007A3195"/>
    <w:rsid w:val="007A31C4"/>
    <w:rsid w:val="007A428E"/>
    <w:rsid w:val="007A560B"/>
    <w:rsid w:val="007A5754"/>
    <w:rsid w:val="007A67BD"/>
    <w:rsid w:val="007B0B0E"/>
    <w:rsid w:val="007B0B82"/>
    <w:rsid w:val="007B1526"/>
    <w:rsid w:val="007B29EA"/>
    <w:rsid w:val="007B2D48"/>
    <w:rsid w:val="007B2F0A"/>
    <w:rsid w:val="007B4280"/>
    <w:rsid w:val="007B4A1E"/>
    <w:rsid w:val="007B53C5"/>
    <w:rsid w:val="007B54B1"/>
    <w:rsid w:val="007B64CB"/>
    <w:rsid w:val="007B7CD0"/>
    <w:rsid w:val="007C1681"/>
    <w:rsid w:val="007C16F3"/>
    <w:rsid w:val="007C2A69"/>
    <w:rsid w:val="007C403E"/>
    <w:rsid w:val="007D0986"/>
    <w:rsid w:val="007D215E"/>
    <w:rsid w:val="007D28E1"/>
    <w:rsid w:val="007D29E6"/>
    <w:rsid w:val="007D2BBD"/>
    <w:rsid w:val="007D3CF9"/>
    <w:rsid w:val="007D69B1"/>
    <w:rsid w:val="007D6E6B"/>
    <w:rsid w:val="007D725C"/>
    <w:rsid w:val="007D7932"/>
    <w:rsid w:val="007E02DA"/>
    <w:rsid w:val="007E3D54"/>
    <w:rsid w:val="007E3FCF"/>
    <w:rsid w:val="007E483B"/>
    <w:rsid w:val="007E624A"/>
    <w:rsid w:val="007E6410"/>
    <w:rsid w:val="007E67C8"/>
    <w:rsid w:val="007E6888"/>
    <w:rsid w:val="007E69B2"/>
    <w:rsid w:val="007F07F6"/>
    <w:rsid w:val="007F0882"/>
    <w:rsid w:val="007F101B"/>
    <w:rsid w:val="007F218D"/>
    <w:rsid w:val="007F26BC"/>
    <w:rsid w:val="007F3692"/>
    <w:rsid w:val="007F4C84"/>
    <w:rsid w:val="007F4CDB"/>
    <w:rsid w:val="007F6074"/>
    <w:rsid w:val="007F60B6"/>
    <w:rsid w:val="007F660D"/>
    <w:rsid w:val="007F736A"/>
    <w:rsid w:val="007F74E4"/>
    <w:rsid w:val="00801066"/>
    <w:rsid w:val="00801E2C"/>
    <w:rsid w:val="008020CD"/>
    <w:rsid w:val="00803137"/>
    <w:rsid w:val="008031F1"/>
    <w:rsid w:val="008041E5"/>
    <w:rsid w:val="00805174"/>
    <w:rsid w:val="00805254"/>
    <w:rsid w:val="008057A2"/>
    <w:rsid w:val="00806B6A"/>
    <w:rsid w:val="00807072"/>
    <w:rsid w:val="00807DE9"/>
    <w:rsid w:val="00810E48"/>
    <w:rsid w:val="00810F47"/>
    <w:rsid w:val="00810F5A"/>
    <w:rsid w:val="00811EDE"/>
    <w:rsid w:val="0081387B"/>
    <w:rsid w:val="00813E7F"/>
    <w:rsid w:val="00813F53"/>
    <w:rsid w:val="00814DC9"/>
    <w:rsid w:val="008152AB"/>
    <w:rsid w:val="008160F7"/>
    <w:rsid w:val="00816536"/>
    <w:rsid w:val="00817763"/>
    <w:rsid w:val="0082112A"/>
    <w:rsid w:val="008215B6"/>
    <w:rsid w:val="008227E0"/>
    <w:rsid w:val="0082360C"/>
    <w:rsid w:val="00826106"/>
    <w:rsid w:val="008319E3"/>
    <w:rsid w:val="0083224C"/>
    <w:rsid w:val="00832517"/>
    <w:rsid w:val="00832D2A"/>
    <w:rsid w:val="0083356C"/>
    <w:rsid w:val="008347E8"/>
    <w:rsid w:val="00834DF5"/>
    <w:rsid w:val="008356F5"/>
    <w:rsid w:val="008365A7"/>
    <w:rsid w:val="00843748"/>
    <w:rsid w:val="00844249"/>
    <w:rsid w:val="00846086"/>
    <w:rsid w:val="00846BE9"/>
    <w:rsid w:val="008475C7"/>
    <w:rsid w:val="0084760E"/>
    <w:rsid w:val="008479F8"/>
    <w:rsid w:val="00847CEA"/>
    <w:rsid w:val="008500B8"/>
    <w:rsid w:val="0085011B"/>
    <w:rsid w:val="00851248"/>
    <w:rsid w:val="00853751"/>
    <w:rsid w:val="00853A10"/>
    <w:rsid w:val="008547DE"/>
    <w:rsid w:val="008549C3"/>
    <w:rsid w:val="008554FE"/>
    <w:rsid w:val="00855642"/>
    <w:rsid w:val="00860E48"/>
    <w:rsid w:val="008618F3"/>
    <w:rsid w:val="008639A7"/>
    <w:rsid w:val="00863EBE"/>
    <w:rsid w:val="008648DD"/>
    <w:rsid w:val="00864F3F"/>
    <w:rsid w:val="0086640F"/>
    <w:rsid w:val="0086762B"/>
    <w:rsid w:val="008676EF"/>
    <w:rsid w:val="00867A99"/>
    <w:rsid w:val="00870BF2"/>
    <w:rsid w:val="0087183B"/>
    <w:rsid w:val="00871A5D"/>
    <w:rsid w:val="00871F13"/>
    <w:rsid w:val="0087387D"/>
    <w:rsid w:val="008773D3"/>
    <w:rsid w:val="00877476"/>
    <w:rsid w:val="00880F94"/>
    <w:rsid w:val="00881BE6"/>
    <w:rsid w:val="00882194"/>
    <w:rsid w:val="008824CC"/>
    <w:rsid w:val="00882E48"/>
    <w:rsid w:val="008830C1"/>
    <w:rsid w:val="0088313A"/>
    <w:rsid w:val="00883BF8"/>
    <w:rsid w:val="00884150"/>
    <w:rsid w:val="0088469A"/>
    <w:rsid w:val="00886EFA"/>
    <w:rsid w:val="00887135"/>
    <w:rsid w:val="00887F64"/>
    <w:rsid w:val="00887F70"/>
    <w:rsid w:val="00891360"/>
    <w:rsid w:val="00893208"/>
    <w:rsid w:val="00893F1C"/>
    <w:rsid w:val="00894BCC"/>
    <w:rsid w:val="008952FF"/>
    <w:rsid w:val="00895E82"/>
    <w:rsid w:val="00896E40"/>
    <w:rsid w:val="0089710C"/>
    <w:rsid w:val="0089775C"/>
    <w:rsid w:val="008A1505"/>
    <w:rsid w:val="008A29E3"/>
    <w:rsid w:val="008A40D8"/>
    <w:rsid w:val="008A4BBD"/>
    <w:rsid w:val="008A5145"/>
    <w:rsid w:val="008A54D9"/>
    <w:rsid w:val="008A5F5C"/>
    <w:rsid w:val="008B0FF6"/>
    <w:rsid w:val="008B1A3B"/>
    <w:rsid w:val="008B259D"/>
    <w:rsid w:val="008B2B01"/>
    <w:rsid w:val="008B437B"/>
    <w:rsid w:val="008B46A3"/>
    <w:rsid w:val="008B4C27"/>
    <w:rsid w:val="008B6EB5"/>
    <w:rsid w:val="008C0926"/>
    <w:rsid w:val="008C1875"/>
    <w:rsid w:val="008C3DFF"/>
    <w:rsid w:val="008C3F41"/>
    <w:rsid w:val="008C454E"/>
    <w:rsid w:val="008C675C"/>
    <w:rsid w:val="008C7166"/>
    <w:rsid w:val="008D07BD"/>
    <w:rsid w:val="008D1391"/>
    <w:rsid w:val="008D1959"/>
    <w:rsid w:val="008D2154"/>
    <w:rsid w:val="008D2F00"/>
    <w:rsid w:val="008D38DC"/>
    <w:rsid w:val="008D4CDB"/>
    <w:rsid w:val="008D68F9"/>
    <w:rsid w:val="008D73BC"/>
    <w:rsid w:val="008E0016"/>
    <w:rsid w:val="008E077F"/>
    <w:rsid w:val="008E11C7"/>
    <w:rsid w:val="008E27FE"/>
    <w:rsid w:val="008E3AED"/>
    <w:rsid w:val="008E5076"/>
    <w:rsid w:val="008E548A"/>
    <w:rsid w:val="008E621B"/>
    <w:rsid w:val="008E6C67"/>
    <w:rsid w:val="008F11E9"/>
    <w:rsid w:val="008F1917"/>
    <w:rsid w:val="008F1EA7"/>
    <w:rsid w:val="008F20CA"/>
    <w:rsid w:val="008F2F46"/>
    <w:rsid w:val="008F2FC9"/>
    <w:rsid w:val="008F344C"/>
    <w:rsid w:val="008F377A"/>
    <w:rsid w:val="008F378C"/>
    <w:rsid w:val="008F5B4B"/>
    <w:rsid w:val="008F7589"/>
    <w:rsid w:val="009007BE"/>
    <w:rsid w:val="009010EE"/>
    <w:rsid w:val="009035B4"/>
    <w:rsid w:val="00904FCD"/>
    <w:rsid w:val="0090562F"/>
    <w:rsid w:val="00906CE8"/>
    <w:rsid w:val="0090779D"/>
    <w:rsid w:val="0091068B"/>
    <w:rsid w:val="00911796"/>
    <w:rsid w:val="00915451"/>
    <w:rsid w:val="0091596A"/>
    <w:rsid w:val="00915D6B"/>
    <w:rsid w:val="00916629"/>
    <w:rsid w:val="0091727A"/>
    <w:rsid w:val="009205D7"/>
    <w:rsid w:val="00920604"/>
    <w:rsid w:val="00920F5C"/>
    <w:rsid w:val="0092110E"/>
    <w:rsid w:val="00922487"/>
    <w:rsid w:val="00922F40"/>
    <w:rsid w:val="00926F22"/>
    <w:rsid w:val="00927B05"/>
    <w:rsid w:val="00927B94"/>
    <w:rsid w:val="00932E53"/>
    <w:rsid w:val="00932FB1"/>
    <w:rsid w:val="0093494D"/>
    <w:rsid w:val="00935652"/>
    <w:rsid w:val="00936BBE"/>
    <w:rsid w:val="00936BD7"/>
    <w:rsid w:val="00937C3B"/>
    <w:rsid w:val="00940200"/>
    <w:rsid w:val="00940D4E"/>
    <w:rsid w:val="009413EE"/>
    <w:rsid w:val="00941548"/>
    <w:rsid w:val="00941B37"/>
    <w:rsid w:val="00941CC9"/>
    <w:rsid w:val="00941D68"/>
    <w:rsid w:val="00941DD3"/>
    <w:rsid w:val="00943470"/>
    <w:rsid w:val="00943EB4"/>
    <w:rsid w:val="0094400E"/>
    <w:rsid w:val="0094644D"/>
    <w:rsid w:val="0094646C"/>
    <w:rsid w:val="009479E8"/>
    <w:rsid w:val="00950536"/>
    <w:rsid w:val="00950B33"/>
    <w:rsid w:val="009521D2"/>
    <w:rsid w:val="0095283E"/>
    <w:rsid w:val="00953169"/>
    <w:rsid w:val="00953CA5"/>
    <w:rsid w:val="00953F47"/>
    <w:rsid w:val="00955DAA"/>
    <w:rsid w:val="009570A4"/>
    <w:rsid w:val="0095787B"/>
    <w:rsid w:val="00961C67"/>
    <w:rsid w:val="00962BDA"/>
    <w:rsid w:val="00963B1D"/>
    <w:rsid w:val="00966217"/>
    <w:rsid w:val="00972E26"/>
    <w:rsid w:val="00974FA6"/>
    <w:rsid w:val="00977A65"/>
    <w:rsid w:val="00980CEE"/>
    <w:rsid w:val="00982A0A"/>
    <w:rsid w:val="00983B3E"/>
    <w:rsid w:val="00984986"/>
    <w:rsid w:val="00984B40"/>
    <w:rsid w:val="0098566B"/>
    <w:rsid w:val="009868BA"/>
    <w:rsid w:val="009870A1"/>
    <w:rsid w:val="00987EF9"/>
    <w:rsid w:val="009915C8"/>
    <w:rsid w:val="00991B58"/>
    <w:rsid w:val="00993B8D"/>
    <w:rsid w:val="0099407D"/>
    <w:rsid w:val="0099592D"/>
    <w:rsid w:val="0099627D"/>
    <w:rsid w:val="009962AD"/>
    <w:rsid w:val="0099763A"/>
    <w:rsid w:val="009976D4"/>
    <w:rsid w:val="009978CC"/>
    <w:rsid w:val="00997F3B"/>
    <w:rsid w:val="009A1FC4"/>
    <w:rsid w:val="009A33E7"/>
    <w:rsid w:val="009A4D17"/>
    <w:rsid w:val="009B2390"/>
    <w:rsid w:val="009B2EBB"/>
    <w:rsid w:val="009B4806"/>
    <w:rsid w:val="009B4C69"/>
    <w:rsid w:val="009B575B"/>
    <w:rsid w:val="009B6BF5"/>
    <w:rsid w:val="009B731A"/>
    <w:rsid w:val="009B79C9"/>
    <w:rsid w:val="009C03B9"/>
    <w:rsid w:val="009C0991"/>
    <w:rsid w:val="009C1BAB"/>
    <w:rsid w:val="009C2134"/>
    <w:rsid w:val="009C3F12"/>
    <w:rsid w:val="009C5544"/>
    <w:rsid w:val="009C5756"/>
    <w:rsid w:val="009C6446"/>
    <w:rsid w:val="009C6B84"/>
    <w:rsid w:val="009C6BEA"/>
    <w:rsid w:val="009D17F6"/>
    <w:rsid w:val="009D1880"/>
    <w:rsid w:val="009D2A02"/>
    <w:rsid w:val="009D31CE"/>
    <w:rsid w:val="009D393F"/>
    <w:rsid w:val="009D45F3"/>
    <w:rsid w:val="009D5017"/>
    <w:rsid w:val="009D6B1E"/>
    <w:rsid w:val="009E0042"/>
    <w:rsid w:val="009E066B"/>
    <w:rsid w:val="009E20B0"/>
    <w:rsid w:val="009E2A78"/>
    <w:rsid w:val="009E3089"/>
    <w:rsid w:val="009E42BE"/>
    <w:rsid w:val="009E4776"/>
    <w:rsid w:val="009E4E0C"/>
    <w:rsid w:val="009E5193"/>
    <w:rsid w:val="009E5F2C"/>
    <w:rsid w:val="009E662A"/>
    <w:rsid w:val="009E73FB"/>
    <w:rsid w:val="009E78EA"/>
    <w:rsid w:val="009E79BC"/>
    <w:rsid w:val="009F0E43"/>
    <w:rsid w:val="009F170C"/>
    <w:rsid w:val="009F17CA"/>
    <w:rsid w:val="009F1856"/>
    <w:rsid w:val="009F2E72"/>
    <w:rsid w:val="009F305B"/>
    <w:rsid w:val="009F3629"/>
    <w:rsid w:val="009F434F"/>
    <w:rsid w:val="009F43A8"/>
    <w:rsid w:val="009F476F"/>
    <w:rsid w:val="009F5137"/>
    <w:rsid w:val="009F5860"/>
    <w:rsid w:val="009F5BCF"/>
    <w:rsid w:val="009F6A2E"/>
    <w:rsid w:val="00A00B9E"/>
    <w:rsid w:val="00A016DD"/>
    <w:rsid w:val="00A0225F"/>
    <w:rsid w:val="00A02554"/>
    <w:rsid w:val="00A033CD"/>
    <w:rsid w:val="00A03DF1"/>
    <w:rsid w:val="00A04404"/>
    <w:rsid w:val="00A06356"/>
    <w:rsid w:val="00A066E1"/>
    <w:rsid w:val="00A06E11"/>
    <w:rsid w:val="00A06E54"/>
    <w:rsid w:val="00A075D1"/>
    <w:rsid w:val="00A10EE3"/>
    <w:rsid w:val="00A11384"/>
    <w:rsid w:val="00A11F74"/>
    <w:rsid w:val="00A12A54"/>
    <w:rsid w:val="00A138A8"/>
    <w:rsid w:val="00A14179"/>
    <w:rsid w:val="00A15FE0"/>
    <w:rsid w:val="00A17754"/>
    <w:rsid w:val="00A23520"/>
    <w:rsid w:val="00A24020"/>
    <w:rsid w:val="00A248A7"/>
    <w:rsid w:val="00A257D2"/>
    <w:rsid w:val="00A25969"/>
    <w:rsid w:val="00A2724F"/>
    <w:rsid w:val="00A31930"/>
    <w:rsid w:val="00A3285A"/>
    <w:rsid w:val="00A34F54"/>
    <w:rsid w:val="00A35168"/>
    <w:rsid w:val="00A366FF"/>
    <w:rsid w:val="00A367DA"/>
    <w:rsid w:val="00A37F80"/>
    <w:rsid w:val="00A415EB"/>
    <w:rsid w:val="00A419EC"/>
    <w:rsid w:val="00A43B3B"/>
    <w:rsid w:val="00A44B5C"/>
    <w:rsid w:val="00A47C1D"/>
    <w:rsid w:val="00A47D61"/>
    <w:rsid w:val="00A47E84"/>
    <w:rsid w:val="00A52235"/>
    <w:rsid w:val="00A5355F"/>
    <w:rsid w:val="00A536B3"/>
    <w:rsid w:val="00A54045"/>
    <w:rsid w:val="00A5449F"/>
    <w:rsid w:val="00A60B2E"/>
    <w:rsid w:val="00A63BB4"/>
    <w:rsid w:val="00A645A8"/>
    <w:rsid w:val="00A64E0F"/>
    <w:rsid w:val="00A66D7D"/>
    <w:rsid w:val="00A6702C"/>
    <w:rsid w:val="00A67A2B"/>
    <w:rsid w:val="00A67D30"/>
    <w:rsid w:val="00A7226B"/>
    <w:rsid w:val="00A7502A"/>
    <w:rsid w:val="00A769E4"/>
    <w:rsid w:val="00A77922"/>
    <w:rsid w:val="00A80B3F"/>
    <w:rsid w:val="00A81C49"/>
    <w:rsid w:val="00A81E7C"/>
    <w:rsid w:val="00A82E29"/>
    <w:rsid w:val="00A83237"/>
    <w:rsid w:val="00A83547"/>
    <w:rsid w:val="00A83E91"/>
    <w:rsid w:val="00A84E72"/>
    <w:rsid w:val="00A85A85"/>
    <w:rsid w:val="00A86989"/>
    <w:rsid w:val="00A86B90"/>
    <w:rsid w:val="00A87867"/>
    <w:rsid w:val="00A90389"/>
    <w:rsid w:val="00A910D2"/>
    <w:rsid w:val="00A9163D"/>
    <w:rsid w:val="00A95144"/>
    <w:rsid w:val="00A95A45"/>
    <w:rsid w:val="00A96F7A"/>
    <w:rsid w:val="00A97110"/>
    <w:rsid w:val="00A9711D"/>
    <w:rsid w:val="00A97328"/>
    <w:rsid w:val="00A97B60"/>
    <w:rsid w:val="00AA0BAE"/>
    <w:rsid w:val="00AA150B"/>
    <w:rsid w:val="00AA1855"/>
    <w:rsid w:val="00AA3681"/>
    <w:rsid w:val="00AA49D3"/>
    <w:rsid w:val="00AA4DBB"/>
    <w:rsid w:val="00AA507A"/>
    <w:rsid w:val="00AA6473"/>
    <w:rsid w:val="00AA7CE8"/>
    <w:rsid w:val="00AB0AC2"/>
    <w:rsid w:val="00AB3761"/>
    <w:rsid w:val="00AB4747"/>
    <w:rsid w:val="00AB5A86"/>
    <w:rsid w:val="00AB62A4"/>
    <w:rsid w:val="00AC11DF"/>
    <w:rsid w:val="00AC1323"/>
    <w:rsid w:val="00AC300E"/>
    <w:rsid w:val="00AC57C1"/>
    <w:rsid w:val="00AC6ABA"/>
    <w:rsid w:val="00AC73BB"/>
    <w:rsid w:val="00AC7EFC"/>
    <w:rsid w:val="00AD051A"/>
    <w:rsid w:val="00AD09BA"/>
    <w:rsid w:val="00AD0E8D"/>
    <w:rsid w:val="00AD17FB"/>
    <w:rsid w:val="00AD20B0"/>
    <w:rsid w:val="00AD20E3"/>
    <w:rsid w:val="00AD2835"/>
    <w:rsid w:val="00AD2B12"/>
    <w:rsid w:val="00AD4529"/>
    <w:rsid w:val="00AD61BA"/>
    <w:rsid w:val="00AE062B"/>
    <w:rsid w:val="00AE1572"/>
    <w:rsid w:val="00AE2E5F"/>
    <w:rsid w:val="00AE3FB5"/>
    <w:rsid w:val="00AE4B40"/>
    <w:rsid w:val="00AE4EA8"/>
    <w:rsid w:val="00AE5E40"/>
    <w:rsid w:val="00AE74B5"/>
    <w:rsid w:val="00AF752D"/>
    <w:rsid w:val="00B00953"/>
    <w:rsid w:val="00B01749"/>
    <w:rsid w:val="00B01E3C"/>
    <w:rsid w:val="00B03F24"/>
    <w:rsid w:val="00B0479A"/>
    <w:rsid w:val="00B04D4C"/>
    <w:rsid w:val="00B078A0"/>
    <w:rsid w:val="00B1491D"/>
    <w:rsid w:val="00B15B6F"/>
    <w:rsid w:val="00B16644"/>
    <w:rsid w:val="00B167FE"/>
    <w:rsid w:val="00B168A8"/>
    <w:rsid w:val="00B16AE8"/>
    <w:rsid w:val="00B17BF1"/>
    <w:rsid w:val="00B2008A"/>
    <w:rsid w:val="00B203AA"/>
    <w:rsid w:val="00B20C9B"/>
    <w:rsid w:val="00B2290C"/>
    <w:rsid w:val="00B235AA"/>
    <w:rsid w:val="00B26528"/>
    <w:rsid w:val="00B2670B"/>
    <w:rsid w:val="00B270CB"/>
    <w:rsid w:val="00B27357"/>
    <w:rsid w:val="00B308B0"/>
    <w:rsid w:val="00B30DFD"/>
    <w:rsid w:val="00B316A4"/>
    <w:rsid w:val="00B31DF9"/>
    <w:rsid w:val="00B32530"/>
    <w:rsid w:val="00B32A11"/>
    <w:rsid w:val="00B338ED"/>
    <w:rsid w:val="00B34817"/>
    <w:rsid w:val="00B34C10"/>
    <w:rsid w:val="00B3575C"/>
    <w:rsid w:val="00B358F0"/>
    <w:rsid w:val="00B36266"/>
    <w:rsid w:val="00B365DF"/>
    <w:rsid w:val="00B36C47"/>
    <w:rsid w:val="00B37121"/>
    <w:rsid w:val="00B3769F"/>
    <w:rsid w:val="00B42372"/>
    <w:rsid w:val="00B45580"/>
    <w:rsid w:val="00B4588D"/>
    <w:rsid w:val="00B45EF8"/>
    <w:rsid w:val="00B4630A"/>
    <w:rsid w:val="00B4704B"/>
    <w:rsid w:val="00B472A5"/>
    <w:rsid w:val="00B47DAB"/>
    <w:rsid w:val="00B47DF0"/>
    <w:rsid w:val="00B50981"/>
    <w:rsid w:val="00B5155C"/>
    <w:rsid w:val="00B5210B"/>
    <w:rsid w:val="00B53158"/>
    <w:rsid w:val="00B5422D"/>
    <w:rsid w:val="00B54752"/>
    <w:rsid w:val="00B5543E"/>
    <w:rsid w:val="00B5545D"/>
    <w:rsid w:val="00B6169A"/>
    <w:rsid w:val="00B6250C"/>
    <w:rsid w:val="00B6257D"/>
    <w:rsid w:val="00B648C2"/>
    <w:rsid w:val="00B6490E"/>
    <w:rsid w:val="00B64D36"/>
    <w:rsid w:val="00B6659F"/>
    <w:rsid w:val="00B67B08"/>
    <w:rsid w:val="00B67BE4"/>
    <w:rsid w:val="00B70CE7"/>
    <w:rsid w:val="00B71ACF"/>
    <w:rsid w:val="00B735BD"/>
    <w:rsid w:val="00B742A1"/>
    <w:rsid w:val="00B7540F"/>
    <w:rsid w:val="00B76376"/>
    <w:rsid w:val="00B77420"/>
    <w:rsid w:val="00B77F92"/>
    <w:rsid w:val="00B826E5"/>
    <w:rsid w:val="00B83B42"/>
    <w:rsid w:val="00B83F68"/>
    <w:rsid w:val="00B85069"/>
    <w:rsid w:val="00B85A68"/>
    <w:rsid w:val="00B87B48"/>
    <w:rsid w:val="00B87DB4"/>
    <w:rsid w:val="00B92CF9"/>
    <w:rsid w:val="00B92E6E"/>
    <w:rsid w:val="00B92E90"/>
    <w:rsid w:val="00B93C96"/>
    <w:rsid w:val="00B94DFB"/>
    <w:rsid w:val="00B96A7B"/>
    <w:rsid w:val="00BA3095"/>
    <w:rsid w:val="00BA3C2A"/>
    <w:rsid w:val="00BA3FD3"/>
    <w:rsid w:val="00BA5497"/>
    <w:rsid w:val="00BA6A93"/>
    <w:rsid w:val="00BA6EDB"/>
    <w:rsid w:val="00BA7078"/>
    <w:rsid w:val="00BA771A"/>
    <w:rsid w:val="00BA7AC9"/>
    <w:rsid w:val="00BB0E33"/>
    <w:rsid w:val="00BB10CA"/>
    <w:rsid w:val="00BB1D50"/>
    <w:rsid w:val="00BB4932"/>
    <w:rsid w:val="00BB51AF"/>
    <w:rsid w:val="00BB5494"/>
    <w:rsid w:val="00BB6EAC"/>
    <w:rsid w:val="00BC0221"/>
    <w:rsid w:val="00BC0425"/>
    <w:rsid w:val="00BC099D"/>
    <w:rsid w:val="00BC1BD8"/>
    <w:rsid w:val="00BC5405"/>
    <w:rsid w:val="00BC595F"/>
    <w:rsid w:val="00BC5A1A"/>
    <w:rsid w:val="00BC73FC"/>
    <w:rsid w:val="00BC754B"/>
    <w:rsid w:val="00BC7A56"/>
    <w:rsid w:val="00BC7DDE"/>
    <w:rsid w:val="00BD062F"/>
    <w:rsid w:val="00BD072D"/>
    <w:rsid w:val="00BD251B"/>
    <w:rsid w:val="00BD2D70"/>
    <w:rsid w:val="00BD4D93"/>
    <w:rsid w:val="00BD5197"/>
    <w:rsid w:val="00BD521F"/>
    <w:rsid w:val="00BD538C"/>
    <w:rsid w:val="00BD54FA"/>
    <w:rsid w:val="00BD5A33"/>
    <w:rsid w:val="00BE0305"/>
    <w:rsid w:val="00BE3D64"/>
    <w:rsid w:val="00BE5956"/>
    <w:rsid w:val="00BE6BA6"/>
    <w:rsid w:val="00BE7E5B"/>
    <w:rsid w:val="00BE7E9F"/>
    <w:rsid w:val="00BF0032"/>
    <w:rsid w:val="00BF0FDD"/>
    <w:rsid w:val="00BF1FA2"/>
    <w:rsid w:val="00BF1FDF"/>
    <w:rsid w:val="00BF32BA"/>
    <w:rsid w:val="00BF33E4"/>
    <w:rsid w:val="00BF35DF"/>
    <w:rsid w:val="00BF42AF"/>
    <w:rsid w:val="00BF4313"/>
    <w:rsid w:val="00BF5CCA"/>
    <w:rsid w:val="00BF66E6"/>
    <w:rsid w:val="00C00235"/>
    <w:rsid w:val="00C008B5"/>
    <w:rsid w:val="00C015D7"/>
    <w:rsid w:val="00C01D2C"/>
    <w:rsid w:val="00C02499"/>
    <w:rsid w:val="00C02614"/>
    <w:rsid w:val="00C03370"/>
    <w:rsid w:val="00C04708"/>
    <w:rsid w:val="00C05330"/>
    <w:rsid w:val="00C066EA"/>
    <w:rsid w:val="00C07C0F"/>
    <w:rsid w:val="00C1164D"/>
    <w:rsid w:val="00C11DFB"/>
    <w:rsid w:val="00C11E9F"/>
    <w:rsid w:val="00C12238"/>
    <w:rsid w:val="00C12BE8"/>
    <w:rsid w:val="00C130B2"/>
    <w:rsid w:val="00C1430D"/>
    <w:rsid w:val="00C15175"/>
    <w:rsid w:val="00C17590"/>
    <w:rsid w:val="00C201CD"/>
    <w:rsid w:val="00C21271"/>
    <w:rsid w:val="00C217FE"/>
    <w:rsid w:val="00C22185"/>
    <w:rsid w:val="00C2394E"/>
    <w:rsid w:val="00C23F86"/>
    <w:rsid w:val="00C2574C"/>
    <w:rsid w:val="00C27B95"/>
    <w:rsid w:val="00C27EFE"/>
    <w:rsid w:val="00C27FCC"/>
    <w:rsid w:val="00C31AC9"/>
    <w:rsid w:val="00C31DA4"/>
    <w:rsid w:val="00C3282E"/>
    <w:rsid w:val="00C336AA"/>
    <w:rsid w:val="00C34144"/>
    <w:rsid w:val="00C35925"/>
    <w:rsid w:val="00C35C34"/>
    <w:rsid w:val="00C36393"/>
    <w:rsid w:val="00C36429"/>
    <w:rsid w:val="00C4053D"/>
    <w:rsid w:val="00C405E5"/>
    <w:rsid w:val="00C40ECD"/>
    <w:rsid w:val="00C40F47"/>
    <w:rsid w:val="00C42924"/>
    <w:rsid w:val="00C42A03"/>
    <w:rsid w:val="00C44AB2"/>
    <w:rsid w:val="00C47A03"/>
    <w:rsid w:val="00C504B2"/>
    <w:rsid w:val="00C51293"/>
    <w:rsid w:val="00C51A34"/>
    <w:rsid w:val="00C5249E"/>
    <w:rsid w:val="00C547C1"/>
    <w:rsid w:val="00C54E61"/>
    <w:rsid w:val="00C5547D"/>
    <w:rsid w:val="00C556F0"/>
    <w:rsid w:val="00C56E71"/>
    <w:rsid w:val="00C56FED"/>
    <w:rsid w:val="00C61302"/>
    <w:rsid w:val="00C613BE"/>
    <w:rsid w:val="00C625EA"/>
    <w:rsid w:val="00C634D1"/>
    <w:rsid w:val="00C64314"/>
    <w:rsid w:val="00C64B6D"/>
    <w:rsid w:val="00C6508D"/>
    <w:rsid w:val="00C651CA"/>
    <w:rsid w:val="00C65FF6"/>
    <w:rsid w:val="00C67C03"/>
    <w:rsid w:val="00C71225"/>
    <w:rsid w:val="00C7261D"/>
    <w:rsid w:val="00C7294B"/>
    <w:rsid w:val="00C75FA0"/>
    <w:rsid w:val="00C76A81"/>
    <w:rsid w:val="00C77505"/>
    <w:rsid w:val="00C822C3"/>
    <w:rsid w:val="00C831AB"/>
    <w:rsid w:val="00C8479D"/>
    <w:rsid w:val="00C855DF"/>
    <w:rsid w:val="00C8617F"/>
    <w:rsid w:val="00C86A2B"/>
    <w:rsid w:val="00C86F2D"/>
    <w:rsid w:val="00C87B8E"/>
    <w:rsid w:val="00C90FCE"/>
    <w:rsid w:val="00C94EE6"/>
    <w:rsid w:val="00C95156"/>
    <w:rsid w:val="00C96AF1"/>
    <w:rsid w:val="00C96B48"/>
    <w:rsid w:val="00C97BE1"/>
    <w:rsid w:val="00CA024E"/>
    <w:rsid w:val="00CA0790"/>
    <w:rsid w:val="00CA1853"/>
    <w:rsid w:val="00CA1C88"/>
    <w:rsid w:val="00CA3EF0"/>
    <w:rsid w:val="00CA4D4A"/>
    <w:rsid w:val="00CA5FAA"/>
    <w:rsid w:val="00CA60EA"/>
    <w:rsid w:val="00CA61A8"/>
    <w:rsid w:val="00CB0C41"/>
    <w:rsid w:val="00CB1079"/>
    <w:rsid w:val="00CB1094"/>
    <w:rsid w:val="00CB30A1"/>
    <w:rsid w:val="00CB3144"/>
    <w:rsid w:val="00CB3647"/>
    <w:rsid w:val="00CB3BDC"/>
    <w:rsid w:val="00CB52C0"/>
    <w:rsid w:val="00CB542A"/>
    <w:rsid w:val="00CB58C5"/>
    <w:rsid w:val="00CB7DC5"/>
    <w:rsid w:val="00CC0D80"/>
    <w:rsid w:val="00CC1A10"/>
    <w:rsid w:val="00CC1CB0"/>
    <w:rsid w:val="00CC2717"/>
    <w:rsid w:val="00CC29D4"/>
    <w:rsid w:val="00CC5E7E"/>
    <w:rsid w:val="00CC5FFE"/>
    <w:rsid w:val="00CC6745"/>
    <w:rsid w:val="00CC720B"/>
    <w:rsid w:val="00CD0315"/>
    <w:rsid w:val="00CD1DDE"/>
    <w:rsid w:val="00CD4ECA"/>
    <w:rsid w:val="00CD619C"/>
    <w:rsid w:val="00CE135B"/>
    <w:rsid w:val="00CE18C7"/>
    <w:rsid w:val="00CE1E27"/>
    <w:rsid w:val="00CE1E78"/>
    <w:rsid w:val="00CE4371"/>
    <w:rsid w:val="00CE4AAD"/>
    <w:rsid w:val="00CE4E75"/>
    <w:rsid w:val="00CE5BE4"/>
    <w:rsid w:val="00CF1080"/>
    <w:rsid w:val="00CF2520"/>
    <w:rsid w:val="00CF470D"/>
    <w:rsid w:val="00CF504F"/>
    <w:rsid w:val="00CF6FC1"/>
    <w:rsid w:val="00CF7105"/>
    <w:rsid w:val="00CF744E"/>
    <w:rsid w:val="00CF75DC"/>
    <w:rsid w:val="00CF78B8"/>
    <w:rsid w:val="00D005A5"/>
    <w:rsid w:val="00D026B2"/>
    <w:rsid w:val="00D02A84"/>
    <w:rsid w:val="00D03ECD"/>
    <w:rsid w:val="00D0456C"/>
    <w:rsid w:val="00D05326"/>
    <w:rsid w:val="00D065D8"/>
    <w:rsid w:val="00D07C08"/>
    <w:rsid w:val="00D07FC6"/>
    <w:rsid w:val="00D11A87"/>
    <w:rsid w:val="00D12967"/>
    <w:rsid w:val="00D14AF8"/>
    <w:rsid w:val="00D14F04"/>
    <w:rsid w:val="00D159CF"/>
    <w:rsid w:val="00D17EB7"/>
    <w:rsid w:val="00D20B73"/>
    <w:rsid w:val="00D23011"/>
    <w:rsid w:val="00D23C7C"/>
    <w:rsid w:val="00D250DC"/>
    <w:rsid w:val="00D2744B"/>
    <w:rsid w:val="00D27AB7"/>
    <w:rsid w:val="00D3119C"/>
    <w:rsid w:val="00D31E57"/>
    <w:rsid w:val="00D32A4F"/>
    <w:rsid w:val="00D32C17"/>
    <w:rsid w:val="00D341F3"/>
    <w:rsid w:val="00D34408"/>
    <w:rsid w:val="00D37246"/>
    <w:rsid w:val="00D409CE"/>
    <w:rsid w:val="00D43E44"/>
    <w:rsid w:val="00D44446"/>
    <w:rsid w:val="00D445A3"/>
    <w:rsid w:val="00D4516C"/>
    <w:rsid w:val="00D45397"/>
    <w:rsid w:val="00D454C5"/>
    <w:rsid w:val="00D470B3"/>
    <w:rsid w:val="00D47915"/>
    <w:rsid w:val="00D51CEC"/>
    <w:rsid w:val="00D51EBD"/>
    <w:rsid w:val="00D528C8"/>
    <w:rsid w:val="00D52D2A"/>
    <w:rsid w:val="00D538A4"/>
    <w:rsid w:val="00D53A41"/>
    <w:rsid w:val="00D54571"/>
    <w:rsid w:val="00D54839"/>
    <w:rsid w:val="00D54F83"/>
    <w:rsid w:val="00D61002"/>
    <w:rsid w:val="00D620C3"/>
    <w:rsid w:val="00D638FE"/>
    <w:rsid w:val="00D63A2B"/>
    <w:rsid w:val="00D655F8"/>
    <w:rsid w:val="00D66B35"/>
    <w:rsid w:val="00D670EA"/>
    <w:rsid w:val="00D70719"/>
    <w:rsid w:val="00D71134"/>
    <w:rsid w:val="00D72269"/>
    <w:rsid w:val="00D722DA"/>
    <w:rsid w:val="00D738C9"/>
    <w:rsid w:val="00D73F25"/>
    <w:rsid w:val="00D7412E"/>
    <w:rsid w:val="00D74A9F"/>
    <w:rsid w:val="00D74D17"/>
    <w:rsid w:val="00D75B3F"/>
    <w:rsid w:val="00D77F32"/>
    <w:rsid w:val="00D80D93"/>
    <w:rsid w:val="00D825E1"/>
    <w:rsid w:val="00D84E8E"/>
    <w:rsid w:val="00D85C6E"/>
    <w:rsid w:val="00D86DF4"/>
    <w:rsid w:val="00D87C26"/>
    <w:rsid w:val="00D90664"/>
    <w:rsid w:val="00D924E5"/>
    <w:rsid w:val="00D93F7F"/>
    <w:rsid w:val="00D944C5"/>
    <w:rsid w:val="00D94692"/>
    <w:rsid w:val="00D967CA"/>
    <w:rsid w:val="00D96955"/>
    <w:rsid w:val="00D97365"/>
    <w:rsid w:val="00D97A9D"/>
    <w:rsid w:val="00D97FED"/>
    <w:rsid w:val="00DA0FF0"/>
    <w:rsid w:val="00DA112B"/>
    <w:rsid w:val="00DA1F75"/>
    <w:rsid w:val="00DA1FA6"/>
    <w:rsid w:val="00DA2F40"/>
    <w:rsid w:val="00DA32C9"/>
    <w:rsid w:val="00DA3845"/>
    <w:rsid w:val="00DA39B6"/>
    <w:rsid w:val="00DA41B9"/>
    <w:rsid w:val="00DA4216"/>
    <w:rsid w:val="00DA7A63"/>
    <w:rsid w:val="00DB0280"/>
    <w:rsid w:val="00DB0AD4"/>
    <w:rsid w:val="00DB160C"/>
    <w:rsid w:val="00DB2588"/>
    <w:rsid w:val="00DB2DF0"/>
    <w:rsid w:val="00DB388C"/>
    <w:rsid w:val="00DB64A4"/>
    <w:rsid w:val="00DC22B9"/>
    <w:rsid w:val="00DC2361"/>
    <w:rsid w:val="00DC3206"/>
    <w:rsid w:val="00DC3B9D"/>
    <w:rsid w:val="00DC4028"/>
    <w:rsid w:val="00DC562D"/>
    <w:rsid w:val="00DC625A"/>
    <w:rsid w:val="00DC7AF1"/>
    <w:rsid w:val="00DD00B4"/>
    <w:rsid w:val="00DD0339"/>
    <w:rsid w:val="00DD064B"/>
    <w:rsid w:val="00DD0C68"/>
    <w:rsid w:val="00DD138E"/>
    <w:rsid w:val="00DD1EA5"/>
    <w:rsid w:val="00DD2C1C"/>
    <w:rsid w:val="00DD2F76"/>
    <w:rsid w:val="00DD3E8A"/>
    <w:rsid w:val="00DD494B"/>
    <w:rsid w:val="00DD6B71"/>
    <w:rsid w:val="00DD6C15"/>
    <w:rsid w:val="00DD7B7E"/>
    <w:rsid w:val="00DE0481"/>
    <w:rsid w:val="00DE137D"/>
    <w:rsid w:val="00DE16D0"/>
    <w:rsid w:val="00DE24E5"/>
    <w:rsid w:val="00DE34A7"/>
    <w:rsid w:val="00DE4CE7"/>
    <w:rsid w:val="00DE4E73"/>
    <w:rsid w:val="00DE5186"/>
    <w:rsid w:val="00DE5853"/>
    <w:rsid w:val="00DE5F74"/>
    <w:rsid w:val="00DF0CD3"/>
    <w:rsid w:val="00DF1832"/>
    <w:rsid w:val="00DF1D77"/>
    <w:rsid w:val="00DF27D5"/>
    <w:rsid w:val="00DF69D4"/>
    <w:rsid w:val="00E00684"/>
    <w:rsid w:val="00E01356"/>
    <w:rsid w:val="00E0155A"/>
    <w:rsid w:val="00E02553"/>
    <w:rsid w:val="00E0295B"/>
    <w:rsid w:val="00E038B4"/>
    <w:rsid w:val="00E04830"/>
    <w:rsid w:val="00E0507B"/>
    <w:rsid w:val="00E058DB"/>
    <w:rsid w:val="00E065FA"/>
    <w:rsid w:val="00E06858"/>
    <w:rsid w:val="00E07103"/>
    <w:rsid w:val="00E1068D"/>
    <w:rsid w:val="00E108C0"/>
    <w:rsid w:val="00E1302B"/>
    <w:rsid w:val="00E14CFD"/>
    <w:rsid w:val="00E14D1D"/>
    <w:rsid w:val="00E15775"/>
    <w:rsid w:val="00E15E98"/>
    <w:rsid w:val="00E17A35"/>
    <w:rsid w:val="00E209DE"/>
    <w:rsid w:val="00E21325"/>
    <w:rsid w:val="00E213D2"/>
    <w:rsid w:val="00E21ED1"/>
    <w:rsid w:val="00E24434"/>
    <w:rsid w:val="00E24B30"/>
    <w:rsid w:val="00E26CA7"/>
    <w:rsid w:val="00E2717B"/>
    <w:rsid w:val="00E27C1D"/>
    <w:rsid w:val="00E3203E"/>
    <w:rsid w:val="00E32422"/>
    <w:rsid w:val="00E3476C"/>
    <w:rsid w:val="00E353F2"/>
    <w:rsid w:val="00E35463"/>
    <w:rsid w:val="00E368DA"/>
    <w:rsid w:val="00E41197"/>
    <w:rsid w:val="00E434E8"/>
    <w:rsid w:val="00E435C8"/>
    <w:rsid w:val="00E44F5F"/>
    <w:rsid w:val="00E451DB"/>
    <w:rsid w:val="00E4555D"/>
    <w:rsid w:val="00E45CB0"/>
    <w:rsid w:val="00E46FBF"/>
    <w:rsid w:val="00E50797"/>
    <w:rsid w:val="00E53580"/>
    <w:rsid w:val="00E55937"/>
    <w:rsid w:val="00E576B0"/>
    <w:rsid w:val="00E6007E"/>
    <w:rsid w:val="00E60B59"/>
    <w:rsid w:val="00E62567"/>
    <w:rsid w:val="00E6295F"/>
    <w:rsid w:val="00E6322C"/>
    <w:rsid w:val="00E63623"/>
    <w:rsid w:val="00E6487A"/>
    <w:rsid w:val="00E64B87"/>
    <w:rsid w:val="00E64DA3"/>
    <w:rsid w:val="00E6554C"/>
    <w:rsid w:val="00E66348"/>
    <w:rsid w:val="00E71A2C"/>
    <w:rsid w:val="00E72FC9"/>
    <w:rsid w:val="00E73754"/>
    <w:rsid w:val="00E73BCC"/>
    <w:rsid w:val="00E7497C"/>
    <w:rsid w:val="00E75A70"/>
    <w:rsid w:val="00E75E83"/>
    <w:rsid w:val="00E7632B"/>
    <w:rsid w:val="00E76565"/>
    <w:rsid w:val="00E765E8"/>
    <w:rsid w:val="00E76784"/>
    <w:rsid w:val="00E76B19"/>
    <w:rsid w:val="00E77047"/>
    <w:rsid w:val="00E772E8"/>
    <w:rsid w:val="00E77406"/>
    <w:rsid w:val="00E775C9"/>
    <w:rsid w:val="00E80571"/>
    <w:rsid w:val="00E80619"/>
    <w:rsid w:val="00E81EE0"/>
    <w:rsid w:val="00E829E1"/>
    <w:rsid w:val="00E837DE"/>
    <w:rsid w:val="00E84D13"/>
    <w:rsid w:val="00E85DFF"/>
    <w:rsid w:val="00E860F5"/>
    <w:rsid w:val="00E866BB"/>
    <w:rsid w:val="00E911C9"/>
    <w:rsid w:val="00E91DB1"/>
    <w:rsid w:val="00E95E22"/>
    <w:rsid w:val="00E97D18"/>
    <w:rsid w:val="00EA2109"/>
    <w:rsid w:val="00EA254C"/>
    <w:rsid w:val="00EA2837"/>
    <w:rsid w:val="00EA2A39"/>
    <w:rsid w:val="00EA2F2D"/>
    <w:rsid w:val="00EA3B40"/>
    <w:rsid w:val="00EA553D"/>
    <w:rsid w:val="00EA67F3"/>
    <w:rsid w:val="00EA7F58"/>
    <w:rsid w:val="00EB07AB"/>
    <w:rsid w:val="00EB5387"/>
    <w:rsid w:val="00EB542D"/>
    <w:rsid w:val="00EB5667"/>
    <w:rsid w:val="00EB5909"/>
    <w:rsid w:val="00EB6140"/>
    <w:rsid w:val="00EB7272"/>
    <w:rsid w:val="00EB7569"/>
    <w:rsid w:val="00EC12D1"/>
    <w:rsid w:val="00EC2B26"/>
    <w:rsid w:val="00EC2DF9"/>
    <w:rsid w:val="00EC3248"/>
    <w:rsid w:val="00EC438B"/>
    <w:rsid w:val="00EC50D9"/>
    <w:rsid w:val="00EC5B92"/>
    <w:rsid w:val="00EC6A1F"/>
    <w:rsid w:val="00EC6B20"/>
    <w:rsid w:val="00EC7E7A"/>
    <w:rsid w:val="00EC7F99"/>
    <w:rsid w:val="00ED0023"/>
    <w:rsid w:val="00ED0321"/>
    <w:rsid w:val="00ED0CCA"/>
    <w:rsid w:val="00ED0EEB"/>
    <w:rsid w:val="00ED16E0"/>
    <w:rsid w:val="00ED2B72"/>
    <w:rsid w:val="00ED3C58"/>
    <w:rsid w:val="00ED3E82"/>
    <w:rsid w:val="00ED4275"/>
    <w:rsid w:val="00ED47E0"/>
    <w:rsid w:val="00ED5334"/>
    <w:rsid w:val="00ED56F0"/>
    <w:rsid w:val="00ED5A30"/>
    <w:rsid w:val="00ED5E71"/>
    <w:rsid w:val="00ED67F8"/>
    <w:rsid w:val="00ED6DB1"/>
    <w:rsid w:val="00EE0373"/>
    <w:rsid w:val="00EE03D7"/>
    <w:rsid w:val="00EE0478"/>
    <w:rsid w:val="00EE25BC"/>
    <w:rsid w:val="00EE485B"/>
    <w:rsid w:val="00EE4D02"/>
    <w:rsid w:val="00EE5242"/>
    <w:rsid w:val="00EF0623"/>
    <w:rsid w:val="00EF1109"/>
    <w:rsid w:val="00EF1A1E"/>
    <w:rsid w:val="00EF1ED7"/>
    <w:rsid w:val="00EF246F"/>
    <w:rsid w:val="00EF3D39"/>
    <w:rsid w:val="00EF4028"/>
    <w:rsid w:val="00EF4D5E"/>
    <w:rsid w:val="00EF736D"/>
    <w:rsid w:val="00F023BF"/>
    <w:rsid w:val="00F02611"/>
    <w:rsid w:val="00F0308F"/>
    <w:rsid w:val="00F03759"/>
    <w:rsid w:val="00F03E6D"/>
    <w:rsid w:val="00F04B51"/>
    <w:rsid w:val="00F068E5"/>
    <w:rsid w:val="00F07105"/>
    <w:rsid w:val="00F12FE8"/>
    <w:rsid w:val="00F14528"/>
    <w:rsid w:val="00F159EA"/>
    <w:rsid w:val="00F17450"/>
    <w:rsid w:val="00F2028E"/>
    <w:rsid w:val="00F20A39"/>
    <w:rsid w:val="00F21098"/>
    <w:rsid w:val="00F24E9E"/>
    <w:rsid w:val="00F25236"/>
    <w:rsid w:val="00F259D9"/>
    <w:rsid w:val="00F26FE8"/>
    <w:rsid w:val="00F27D4F"/>
    <w:rsid w:val="00F30518"/>
    <w:rsid w:val="00F30C24"/>
    <w:rsid w:val="00F31029"/>
    <w:rsid w:val="00F31290"/>
    <w:rsid w:val="00F31965"/>
    <w:rsid w:val="00F31A50"/>
    <w:rsid w:val="00F3239D"/>
    <w:rsid w:val="00F339E3"/>
    <w:rsid w:val="00F33F26"/>
    <w:rsid w:val="00F345B5"/>
    <w:rsid w:val="00F35CD2"/>
    <w:rsid w:val="00F35F35"/>
    <w:rsid w:val="00F3629B"/>
    <w:rsid w:val="00F37012"/>
    <w:rsid w:val="00F373B7"/>
    <w:rsid w:val="00F4045A"/>
    <w:rsid w:val="00F40FB5"/>
    <w:rsid w:val="00F40FB6"/>
    <w:rsid w:val="00F41597"/>
    <w:rsid w:val="00F41B96"/>
    <w:rsid w:val="00F423F8"/>
    <w:rsid w:val="00F51E25"/>
    <w:rsid w:val="00F51F1A"/>
    <w:rsid w:val="00F5360C"/>
    <w:rsid w:val="00F569C6"/>
    <w:rsid w:val="00F57D8D"/>
    <w:rsid w:val="00F60114"/>
    <w:rsid w:val="00F60AD0"/>
    <w:rsid w:val="00F60FB5"/>
    <w:rsid w:val="00F6183C"/>
    <w:rsid w:val="00F63A44"/>
    <w:rsid w:val="00F63CC4"/>
    <w:rsid w:val="00F63CF2"/>
    <w:rsid w:val="00F63F0D"/>
    <w:rsid w:val="00F64BAC"/>
    <w:rsid w:val="00F658A5"/>
    <w:rsid w:val="00F65BEE"/>
    <w:rsid w:val="00F674FC"/>
    <w:rsid w:val="00F676D1"/>
    <w:rsid w:val="00F67BA2"/>
    <w:rsid w:val="00F708D8"/>
    <w:rsid w:val="00F70939"/>
    <w:rsid w:val="00F70A08"/>
    <w:rsid w:val="00F71AE2"/>
    <w:rsid w:val="00F72E4C"/>
    <w:rsid w:val="00F74068"/>
    <w:rsid w:val="00F746C8"/>
    <w:rsid w:val="00F753A7"/>
    <w:rsid w:val="00F75989"/>
    <w:rsid w:val="00F75A90"/>
    <w:rsid w:val="00F77013"/>
    <w:rsid w:val="00F8204B"/>
    <w:rsid w:val="00F836FB"/>
    <w:rsid w:val="00F83DE9"/>
    <w:rsid w:val="00F900BC"/>
    <w:rsid w:val="00F9091E"/>
    <w:rsid w:val="00F90E3A"/>
    <w:rsid w:val="00F92432"/>
    <w:rsid w:val="00F92540"/>
    <w:rsid w:val="00F9583B"/>
    <w:rsid w:val="00F96D4A"/>
    <w:rsid w:val="00F97A35"/>
    <w:rsid w:val="00F97F23"/>
    <w:rsid w:val="00FA0177"/>
    <w:rsid w:val="00FA1408"/>
    <w:rsid w:val="00FA1545"/>
    <w:rsid w:val="00FA20E2"/>
    <w:rsid w:val="00FA2235"/>
    <w:rsid w:val="00FA423E"/>
    <w:rsid w:val="00FA56CE"/>
    <w:rsid w:val="00FA56E8"/>
    <w:rsid w:val="00FA5934"/>
    <w:rsid w:val="00FA5D64"/>
    <w:rsid w:val="00FA65D3"/>
    <w:rsid w:val="00FA6B25"/>
    <w:rsid w:val="00FB03ED"/>
    <w:rsid w:val="00FB0539"/>
    <w:rsid w:val="00FB1488"/>
    <w:rsid w:val="00FB31A3"/>
    <w:rsid w:val="00FB3CE5"/>
    <w:rsid w:val="00FB4161"/>
    <w:rsid w:val="00FB7E54"/>
    <w:rsid w:val="00FC01ED"/>
    <w:rsid w:val="00FC05F0"/>
    <w:rsid w:val="00FC0A9E"/>
    <w:rsid w:val="00FC284D"/>
    <w:rsid w:val="00FC2F80"/>
    <w:rsid w:val="00FC32D0"/>
    <w:rsid w:val="00FC34E1"/>
    <w:rsid w:val="00FC5609"/>
    <w:rsid w:val="00FC5B7E"/>
    <w:rsid w:val="00FD039F"/>
    <w:rsid w:val="00FD0DB8"/>
    <w:rsid w:val="00FD2430"/>
    <w:rsid w:val="00FD2B69"/>
    <w:rsid w:val="00FD2D1F"/>
    <w:rsid w:val="00FD2FF0"/>
    <w:rsid w:val="00FD3A5D"/>
    <w:rsid w:val="00FD3B85"/>
    <w:rsid w:val="00FD52F4"/>
    <w:rsid w:val="00FD67AC"/>
    <w:rsid w:val="00FD6FCE"/>
    <w:rsid w:val="00FD74EA"/>
    <w:rsid w:val="00FD7789"/>
    <w:rsid w:val="00FD77D5"/>
    <w:rsid w:val="00FD7EBD"/>
    <w:rsid w:val="00FE055B"/>
    <w:rsid w:val="00FE0EBF"/>
    <w:rsid w:val="00FE1177"/>
    <w:rsid w:val="00FE14B6"/>
    <w:rsid w:val="00FE1D69"/>
    <w:rsid w:val="00FE1F21"/>
    <w:rsid w:val="00FE2728"/>
    <w:rsid w:val="00FE443E"/>
    <w:rsid w:val="00FE4995"/>
    <w:rsid w:val="00FE4FB3"/>
    <w:rsid w:val="00FE55B6"/>
    <w:rsid w:val="00FE5F8F"/>
    <w:rsid w:val="00FE6FE7"/>
    <w:rsid w:val="00FE7532"/>
    <w:rsid w:val="00FF0093"/>
    <w:rsid w:val="00FF0397"/>
    <w:rsid w:val="00FF14A0"/>
    <w:rsid w:val="00FF1CC6"/>
    <w:rsid w:val="00FF24D3"/>
    <w:rsid w:val="00FF24FF"/>
    <w:rsid w:val="00FF28BB"/>
    <w:rsid w:val="00FF3349"/>
    <w:rsid w:val="00FF3B6E"/>
    <w:rsid w:val="00FF3F74"/>
    <w:rsid w:val="00FF43EE"/>
    <w:rsid w:val="00FF5F55"/>
    <w:rsid w:val="00FF7F78"/>
    <w:rsid w:val="15F523D0"/>
    <w:rsid w:val="3AD298AF"/>
    <w:rsid w:val="5B14E1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F1BA8"/>
  <w15:docId w15:val="{BD30A164-9E3E-4D46-B392-911ECF11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6" w:unhideWhenUsed="1" w:qFormat="1"/>
    <w:lsdException w:name="List Bullet" w:semiHidden="1" w:uiPriority="1" w:unhideWhenUsed="1" w:qFormat="1"/>
    <w:lsdException w:name="List Number" w:semiHidden="1" w:uiPriority="7" w:unhideWhenUsed="1"/>
    <w:lsdException w:name="List 2" w:semiHidden="1" w:uiPriority="6" w:unhideWhenUsed="1" w:qFormat="1"/>
    <w:lsdException w:name="List 3" w:semiHidden="1" w:uiPriority="6" w:unhideWhenUsed="1" w:qFormat="1"/>
    <w:lsdException w:name="List 4" w:semiHidden="1" w:uiPriority="6" w:unhideWhenUsed="1" w:qFormat="1"/>
    <w:lsdException w:name="List 5" w:semiHidden="1"/>
    <w:lsdException w:name="List Bullet 2" w:semiHidden="1" w:uiPriority="5" w:unhideWhenUsed="1" w:qFormat="1"/>
    <w:lsdException w:name="List Bullet 3" w:semiHidden="1" w:uiPriority="5" w:unhideWhenUsed="1" w:qFormat="1"/>
    <w:lsdException w:name="List Bullet 4" w:semiHidden="1" w:uiPriority="5" w:unhideWhenUsed="1" w:qFormat="1"/>
    <w:lsdException w:name="List Bullet 5" w:semiHidden="1"/>
    <w:lsdException w:name="List Number 2" w:semiHidden="1" w:uiPriority="7" w:unhideWhenUsed="1"/>
    <w:lsdException w:name="List Number 3" w:semiHidden="1" w:uiPriority="7" w:unhideWhenUsed="1"/>
    <w:lsdException w:name="List Number 4" w:semiHidden="1" w:uiPriority="7" w:unhideWhenUsed="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7" w:qFormat="1"/>
    <w:lsdException w:name="Emphasis" w:semiHidden="1" w:uiPriority="28"/>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7"/>
    <w:lsdException w:name="Intense Emphasis" w:semiHidden="1" w:uiPriority="29"/>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qFormat/>
    <w:rsid w:val="000E556C"/>
    <w:pPr>
      <w:spacing w:after="240" w:line="240" w:lineRule="auto"/>
    </w:pPr>
    <w:rPr>
      <w:rFonts w:ascii="Verdana" w:hAnsi="Verdana"/>
      <w:color w:val="5E6A71" w:themeColor="text2"/>
      <w:sz w:val="18"/>
    </w:rPr>
  </w:style>
  <w:style w:type="paragraph" w:styleId="Heading1">
    <w:name w:val="heading 1"/>
    <w:basedOn w:val="Normal"/>
    <w:next w:val="Normal"/>
    <w:link w:val="Heading1Char"/>
    <w:uiPriority w:val="2"/>
    <w:qFormat/>
    <w:rsid w:val="0010780C"/>
    <w:pPr>
      <w:numPr>
        <w:numId w:val="1"/>
      </w:numPr>
      <w:spacing w:after="120"/>
      <w:outlineLvl w:val="0"/>
    </w:pPr>
    <w:rPr>
      <w:rFonts w:eastAsiaTheme="majorEastAsia" w:cstheme="majorBidi"/>
      <w:b/>
      <w:bCs/>
      <w:color w:val="1E4479" w:themeColor="accent1"/>
      <w:sz w:val="22"/>
      <w:szCs w:val="28"/>
    </w:rPr>
  </w:style>
  <w:style w:type="paragraph" w:styleId="Heading2">
    <w:name w:val="heading 2"/>
    <w:basedOn w:val="Normal"/>
    <w:next w:val="BodyText"/>
    <w:link w:val="Heading2Char"/>
    <w:uiPriority w:val="3"/>
    <w:qFormat/>
    <w:rsid w:val="0010780C"/>
    <w:pPr>
      <w:numPr>
        <w:ilvl w:val="1"/>
        <w:numId w:val="1"/>
      </w:numPr>
      <w:spacing w:after="120"/>
      <w:outlineLvl w:val="1"/>
    </w:pPr>
    <w:rPr>
      <w:rFonts w:eastAsiaTheme="majorEastAsia" w:cstheme="majorBidi"/>
      <w:b/>
      <w:bCs/>
      <w:color w:val="009FDA" w:themeColor="accent2"/>
      <w:sz w:val="20"/>
      <w:szCs w:val="26"/>
    </w:rPr>
  </w:style>
  <w:style w:type="paragraph" w:styleId="Heading3">
    <w:name w:val="heading 3"/>
    <w:basedOn w:val="Normal"/>
    <w:next w:val="BodyText"/>
    <w:link w:val="Heading3Char"/>
    <w:uiPriority w:val="3"/>
    <w:qFormat/>
    <w:rsid w:val="0010780C"/>
    <w:pPr>
      <w:numPr>
        <w:ilvl w:val="2"/>
        <w:numId w:val="1"/>
      </w:numPr>
      <w:spacing w:after="120"/>
      <w:outlineLvl w:val="2"/>
    </w:pPr>
    <w:rPr>
      <w:rFonts w:eastAsiaTheme="majorEastAsia" w:cstheme="majorBidi"/>
      <w:b/>
      <w:bCs/>
    </w:rPr>
  </w:style>
  <w:style w:type="paragraph" w:styleId="Heading4">
    <w:name w:val="heading 4"/>
    <w:basedOn w:val="Normal"/>
    <w:next w:val="BodyText"/>
    <w:link w:val="Heading4Char"/>
    <w:uiPriority w:val="3"/>
    <w:qFormat/>
    <w:rsid w:val="0010780C"/>
    <w:pPr>
      <w:numPr>
        <w:ilvl w:val="3"/>
        <w:numId w:val="1"/>
      </w:numPr>
      <w:spacing w:after="120"/>
      <w:outlineLvl w:val="3"/>
    </w:pPr>
    <w:rPr>
      <w:rFonts w:eastAsiaTheme="majorEastAsia" w:cstheme="majorBidi"/>
      <w:bCs/>
      <w:i/>
      <w:iCs/>
    </w:rPr>
  </w:style>
  <w:style w:type="paragraph" w:styleId="Heading5">
    <w:name w:val="heading 5"/>
    <w:basedOn w:val="Normal"/>
    <w:next w:val="BodyText"/>
    <w:link w:val="Heading5Char"/>
    <w:uiPriority w:val="27"/>
    <w:semiHidden/>
    <w:qFormat/>
    <w:rsid w:val="006A1EE4"/>
    <w:pPr>
      <w:keepLines/>
      <w:spacing w:after="120"/>
      <w:outlineLvl w:val="4"/>
    </w:pPr>
    <w:rPr>
      <w:rFonts w:eastAsiaTheme="majorEastAsia" w:cstheme="majorBidi"/>
      <w:i/>
    </w:rPr>
  </w:style>
  <w:style w:type="paragraph" w:styleId="Heading6">
    <w:name w:val="heading 6"/>
    <w:basedOn w:val="Normal"/>
    <w:next w:val="Normal"/>
    <w:link w:val="Heading6Char"/>
    <w:uiPriority w:val="27"/>
    <w:semiHidden/>
    <w:rsid w:val="00ED3C58"/>
    <w:pPr>
      <w:keepNext/>
      <w:keepLines/>
      <w:spacing w:before="40" w:after="0"/>
      <w:outlineLvl w:val="5"/>
    </w:pPr>
    <w:rPr>
      <w:rFonts w:asciiTheme="majorHAnsi" w:eastAsiaTheme="majorEastAsia" w:hAnsiTheme="majorHAnsi" w:cstheme="majorBidi"/>
      <w:color w:val="0F213C" w:themeColor="accent1" w:themeShade="7F"/>
    </w:rPr>
  </w:style>
  <w:style w:type="paragraph" w:styleId="Heading7">
    <w:name w:val="heading 7"/>
    <w:basedOn w:val="Normal"/>
    <w:next w:val="Normal"/>
    <w:link w:val="Heading7Char"/>
    <w:uiPriority w:val="27"/>
    <w:semiHidden/>
    <w:qFormat/>
    <w:rsid w:val="00ED3C58"/>
    <w:pPr>
      <w:keepNext/>
      <w:keepLines/>
      <w:spacing w:before="40" w:after="0"/>
      <w:outlineLvl w:val="6"/>
    </w:pPr>
    <w:rPr>
      <w:rFonts w:asciiTheme="majorHAnsi" w:eastAsiaTheme="majorEastAsia" w:hAnsiTheme="majorHAnsi" w:cstheme="majorBidi"/>
      <w:i/>
      <w:iCs/>
      <w:color w:val="0F213C" w:themeColor="accent1" w:themeShade="7F"/>
    </w:rPr>
  </w:style>
  <w:style w:type="paragraph" w:styleId="Heading8">
    <w:name w:val="heading 8"/>
    <w:basedOn w:val="Normal"/>
    <w:next w:val="Normal"/>
    <w:link w:val="Heading8Char"/>
    <w:uiPriority w:val="27"/>
    <w:semiHidden/>
    <w:qFormat/>
    <w:rsid w:val="00ED3C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7"/>
    <w:semiHidden/>
    <w:qFormat/>
    <w:rsid w:val="00ED3C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0780C"/>
    <w:rPr>
      <w:rFonts w:ascii="Verdana" w:eastAsiaTheme="majorEastAsia" w:hAnsi="Verdana" w:cstheme="majorBidi"/>
      <w:b/>
      <w:bCs/>
      <w:color w:val="1E4479" w:themeColor="accent1"/>
      <w:szCs w:val="28"/>
    </w:rPr>
  </w:style>
  <w:style w:type="paragraph" w:customStyle="1" w:styleId="SupportingHeading">
    <w:name w:val="Supporting Heading"/>
    <w:basedOn w:val="Normal"/>
    <w:next w:val="Normal"/>
    <w:link w:val="SupportingHeadingChar"/>
    <w:uiPriority w:val="16"/>
    <w:qFormat/>
    <w:rsid w:val="00963B1D"/>
    <w:pPr>
      <w:contextualSpacing/>
    </w:pPr>
    <w:rPr>
      <w:sz w:val="28"/>
    </w:rPr>
  </w:style>
  <w:style w:type="character" w:customStyle="1" w:styleId="Heading2Char">
    <w:name w:val="Heading 2 Char"/>
    <w:basedOn w:val="DefaultParagraphFont"/>
    <w:link w:val="Heading2"/>
    <w:uiPriority w:val="3"/>
    <w:rsid w:val="0010780C"/>
    <w:rPr>
      <w:rFonts w:ascii="Verdana" w:eastAsiaTheme="majorEastAsia" w:hAnsi="Verdana" w:cstheme="majorBidi"/>
      <w:b/>
      <w:bCs/>
      <w:color w:val="009FDA" w:themeColor="accent2"/>
      <w:sz w:val="20"/>
      <w:szCs w:val="26"/>
    </w:rPr>
  </w:style>
  <w:style w:type="character" w:customStyle="1" w:styleId="Heading3Char">
    <w:name w:val="Heading 3 Char"/>
    <w:basedOn w:val="DefaultParagraphFont"/>
    <w:link w:val="Heading3"/>
    <w:uiPriority w:val="3"/>
    <w:rsid w:val="0010780C"/>
    <w:rPr>
      <w:rFonts w:ascii="Verdana" w:eastAsiaTheme="majorEastAsia" w:hAnsi="Verdana" w:cstheme="majorBidi"/>
      <w:b/>
      <w:bCs/>
      <w:color w:val="5E6A71" w:themeColor="text2"/>
      <w:sz w:val="18"/>
    </w:rPr>
  </w:style>
  <w:style w:type="character" w:customStyle="1" w:styleId="Heading4Char">
    <w:name w:val="Heading 4 Char"/>
    <w:basedOn w:val="DefaultParagraphFont"/>
    <w:link w:val="Heading4"/>
    <w:uiPriority w:val="3"/>
    <w:rsid w:val="0010780C"/>
    <w:rPr>
      <w:rFonts w:ascii="Verdana" w:eastAsiaTheme="majorEastAsia" w:hAnsi="Verdana" w:cstheme="majorBidi"/>
      <w:bCs/>
      <w:i/>
      <w:iCs/>
      <w:color w:val="5E6A71" w:themeColor="text2"/>
      <w:sz w:val="18"/>
    </w:rPr>
  </w:style>
  <w:style w:type="character" w:customStyle="1" w:styleId="Heading5Char">
    <w:name w:val="Heading 5 Char"/>
    <w:basedOn w:val="DefaultParagraphFont"/>
    <w:link w:val="Heading5"/>
    <w:uiPriority w:val="27"/>
    <w:semiHidden/>
    <w:rsid w:val="0091596A"/>
    <w:rPr>
      <w:rFonts w:ascii="Verdana" w:eastAsiaTheme="majorEastAsia" w:hAnsi="Verdana" w:cstheme="majorBidi"/>
      <w:i/>
      <w:color w:val="5E6A71" w:themeColor="text2"/>
      <w:sz w:val="18"/>
    </w:rPr>
  </w:style>
  <w:style w:type="paragraph" w:styleId="BodyText">
    <w:name w:val="Body Text"/>
    <w:basedOn w:val="Normal"/>
    <w:link w:val="BodyTextChar"/>
    <w:qFormat/>
    <w:rsid w:val="00A419EC"/>
    <w:pPr>
      <w:spacing w:line="240" w:lineRule="atLeast"/>
      <w:ind w:left="794"/>
    </w:pPr>
  </w:style>
  <w:style w:type="character" w:customStyle="1" w:styleId="BodyTextChar">
    <w:name w:val="Body Text Char"/>
    <w:basedOn w:val="DefaultParagraphFont"/>
    <w:link w:val="BodyText"/>
    <w:rsid w:val="00A419EC"/>
    <w:rPr>
      <w:rFonts w:ascii="Verdana" w:hAnsi="Verdana"/>
      <w:color w:val="5E6A71" w:themeColor="text2"/>
      <w:sz w:val="18"/>
    </w:rPr>
  </w:style>
  <w:style w:type="paragraph" w:styleId="ListBullet">
    <w:name w:val="List Bullet"/>
    <w:basedOn w:val="Normal"/>
    <w:uiPriority w:val="1"/>
    <w:qFormat/>
    <w:rsid w:val="00843748"/>
    <w:pPr>
      <w:numPr>
        <w:numId w:val="3"/>
      </w:numPr>
      <w:spacing w:after="120" w:line="240" w:lineRule="atLeast"/>
    </w:pPr>
    <w:rPr>
      <w:spacing w:val="4"/>
    </w:rPr>
  </w:style>
  <w:style w:type="paragraph" w:customStyle="1" w:styleId="HeadingLine">
    <w:name w:val="Heading Line"/>
    <w:uiPriority w:val="99"/>
    <w:semiHidden/>
    <w:rsid w:val="006A1EE4"/>
    <w:pPr>
      <w:pBdr>
        <w:bottom w:val="single" w:sz="4" w:space="1" w:color="5E6A71" w:themeColor="accent3"/>
      </w:pBdr>
    </w:pPr>
    <w:rPr>
      <w:rFonts w:ascii="Verdana" w:hAnsi="Verdana"/>
      <w:color w:val="5E6A71" w:themeColor="text2"/>
      <w:sz w:val="18"/>
    </w:rPr>
  </w:style>
  <w:style w:type="paragraph" w:styleId="Footer">
    <w:name w:val="footer"/>
    <w:basedOn w:val="Normal"/>
    <w:link w:val="FooterChar"/>
    <w:uiPriority w:val="99"/>
    <w:semiHidden/>
    <w:rsid w:val="00CB7DC5"/>
    <w:pPr>
      <w:pBdr>
        <w:top w:val="single" w:sz="4" w:space="8" w:color="5E6A71" w:themeColor="accent3"/>
      </w:pBdr>
      <w:tabs>
        <w:tab w:val="center" w:pos="4513"/>
        <w:tab w:val="right" w:pos="9026"/>
      </w:tabs>
      <w:spacing w:after="0"/>
    </w:pPr>
    <w:rPr>
      <w:b/>
      <w:color w:val="009FDA" w:themeColor="accent2"/>
      <w:sz w:val="16"/>
    </w:rPr>
  </w:style>
  <w:style w:type="character" w:customStyle="1" w:styleId="FooterChar">
    <w:name w:val="Footer Char"/>
    <w:basedOn w:val="DefaultParagraphFont"/>
    <w:link w:val="Footer"/>
    <w:uiPriority w:val="99"/>
    <w:semiHidden/>
    <w:rsid w:val="006A4BC1"/>
    <w:rPr>
      <w:rFonts w:ascii="Verdana" w:hAnsi="Verdana"/>
      <w:b/>
      <w:color w:val="009FDA" w:themeColor="accent2"/>
      <w:sz w:val="16"/>
    </w:rPr>
  </w:style>
  <w:style w:type="paragraph" w:styleId="Header">
    <w:name w:val="header"/>
    <w:basedOn w:val="Normal"/>
    <w:link w:val="HeaderChar"/>
    <w:rsid w:val="0056669A"/>
    <w:pPr>
      <w:tabs>
        <w:tab w:val="center" w:pos="4513"/>
        <w:tab w:val="right" w:pos="9026"/>
      </w:tabs>
      <w:spacing w:after="0"/>
    </w:pPr>
  </w:style>
  <w:style w:type="character" w:customStyle="1" w:styleId="HeaderChar">
    <w:name w:val="Header Char"/>
    <w:basedOn w:val="DefaultParagraphFont"/>
    <w:link w:val="Header"/>
    <w:rsid w:val="006A4BC1"/>
    <w:rPr>
      <w:rFonts w:ascii="Verdana" w:hAnsi="Verdana"/>
      <w:color w:val="5E6A71" w:themeColor="text2"/>
      <w:sz w:val="18"/>
    </w:rPr>
  </w:style>
  <w:style w:type="paragraph" w:customStyle="1" w:styleId="IntroductionText">
    <w:name w:val="Introduction Text"/>
    <w:basedOn w:val="Normal"/>
    <w:next w:val="BodyText"/>
    <w:uiPriority w:val="10"/>
    <w:qFormat/>
    <w:rsid w:val="0056669A"/>
    <w:rPr>
      <w:b/>
      <w:sz w:val="20"/>
    </w:rPr>
  </w:style>
  <w:style w:type="paragraph" w:styleId="Quote">
    <w:name w:val="Quote"/>
    <w:basedOn w:val="Normal"/>
    <w:next w:val="BodyText"/>
    <w:link w:val="QuoteChar"/>
    <w:uiPriority w:val="26"/>
    <w:semiHidden/>
    <w:rsid w:val="00687F45"/>
    <w:pPr>
      <w:pBdr>
        <w:top w:val="single" w:sz="18" w:space="8" w:color="009FDA" w:themeColor="accent2"/>
        <w:bottom w:val="single" w:sz="18" w:space="8" w:color="009FDA" w:themeColor="accent2"/>
      </w:pBdr>
      <w:spacing w:before="360" w:after="360"/>
      <w:ind w:left="794"/>
      <w:contextualSpacing/>
    </w:pPr>
    <w:rPr>
      <w:i/>
      <w:iCs/>
      <w:color w:val="009FDA" w:themeColor="accent2"/>
      <w:sz w:val="24"/>
    </w:rPr>
  </w:style>
  <w:style w:type="character" w:customStyle="1" w:styleId="QuoteChar">
    <w:name w:val="Quote Char"/>
    <w:basedOn w:val="DefaultParagraphFont"/>
    <w:link w:val="Quote"/>
    <w:uiPriority w:val="26"/>
    <w:semiHidden/>
    <w:rsid w:val="0091596A"/>
    <w:rPr>
      <w:rFonts w:ascii="Verdana" w:hAnsi="Verdana"/>
      <w:i/>
      <w:iCs/>
      <w:color w:val="009FDA" w:themeColor="accent2"/>
      <w:sz w:val="24"/>
    </w:rPr>
  </w:style>
  <w:style w:type="paragraph" w:customStyle="1" w:styleId="Heading-GreyBG">
    <w:name w:val="Heading - Grey BG"/>
    <w:basedOn w:val="BodyText"/>
    <w:next w:val="BodyText"/>
    <w:uiPriority w:val="12"/>
    <w:qFormat/>
    <w:rsid w:val="00664DE3"/>
    <w:pPr>
      <w:contextualSpacing/>
    </w:pPr>
    <w:rPr>
      <w:b/>
      <w:color w:val="009FDA" w:themeColor="accent2"/>
      <w:sz w:val="20"/>
    </w:rPr>
  </w:style>
  <w:style w:type="paragraph" w:customStyle="1" w:styleId="CallOutText-Cyan">
    <w:name w:val="Call Out Text - Cyan"/>
    <w:basedOn w:val="BodyText"/>
    <w:uiPriority w:val="13"/>
    <w:qFormat/>
    <w:rsid w:val="00CB7DC5"/>
    <w:rPr>
      <w:color w:val="009FDA" w:themeColor="accent2"/>
    </w:rPr>
  </w:style>
  <w:style w:type="paragraph" w:styleId="BalloonText">
    <w:name w:val="Balloon Text"/>
    <w:basedOn w:val="Normal"/>
    <w:link w:val="BalloonTextChar"/>
    <w:uiPriority w:val="99"/>
    <w:semiHidden/>
    <w:rsid w:val="00CB7D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BC1"/>
    <w:rPr>
      <w:rFonts w:ascii="Tahoma" w:hAnsi="Tahoma" w:cs="Tahoma"/>
      <w:color w:val="5E6A71" w:themeColor="text2"/>
      <w:sz w:val="16"/>
      <w:szCs w:val="16"/>
    </w:rPr>
  </w:style>
  <w:style w:type="table" w:styleId="TableGrid">
    <w:name w:val="Table Grid"/>
    <w:basedOn w:val="TableNormal"/>
    <w:uiPriority w:val="39"/>
    <w:rsid w:val="00E2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80619"/>
    <w:pPr>
      <w:spacing w:after="0" w:line="240" w:lineRule="auto"/>
      <w:ind w:left="794"/>
    </w:pPr>
    <w:rPr>
      <w:rFonts w:ascii="Verdana" w:hAnsi="Verdana"/>
      <w:color w:val="5E6A71" w:themeColor="text2"/>
      <w:sz w:val="18"/>
    </w:rPr>
  </w:style>
  <w:style w:type="paragraph" w:customStyle="1" w:styleId="Disclaimer">
    <w:name w:val="Disclaimer"/>
    <w:basedOn w:val="Normal"/>
    <w:link w:val="DisclaimerChar"/>
    <w:uiPriority w:val="14"/>
    <w:rsid w:val="00641770"/>
    <w:pPr>
      <w:spacing w:before="120" w:after="120"/>
    </w:pPr>
    <w:rPr>
      <w:sz w:val="14"/>
      <w:szCs w:val="14"/>
    </w:rPr>
  </w:style>
  <w:style w:type="paragraph" w:customStyle="1" w:styleId="RevHistoryTitles">
    <w:name w:val="RevHistoryTitles"/>
    <w:basedOn w:val="Normal-Nospacing"/>
    <w:uiPriority w:val="15"/>
    <w:rsid w:val="00EF3D39"/>
    <w:pPr>
      <w:framePr w:hSpace="181" w:wrap="around" w:hAnchor="text" w:yAlign="bottom"/>
      <w:spacing w:before="60" w:after="60"/>
      <w:suppressOverlap/>
    </w:pPr>
    <w:rPr>
      <w:b/>
      <w:color w:val="009FDA" w:themeColor="accent2"/>
    </w:rPr>
  </w:style>
  <w:style w:type="paragraph" w:customStyle="1" w:styleId="DividerPageSubtitle">
    <w:name w:val="Divider Page Subtitle"/>
    <w:basedOn w:val="SupportingHeading"/>
    <w:uiPriority w:val="26"/>
    <w:semiHidden/>
    <w:rsid w:val="00435BA0"/>
  </w:style>
  <w:style w:type="paragraph" w:customStyle="1" w:styleId="DividerPageTitle">
    <w:name w:val="Divider Page Title"/>
    <w:basedOn w:val="Heading1"/>
    <w:uiPriority w:val="26"/>
    <w:semiHidden/>
    <w:rsid w:val="00184EAD"/>
  </w:style>
  <w:style w:type="paragraph" w:styleId="Date">
    <w:name w:val="Date"/>
    <w:basedOn w:val="Normal"/>
    <w:next w:val="Normal"/>
    <w:link w:val="DateChar"/>
    <w:uiPriority w:val="99"/>
    <w:semiHidden/>
    <w:rsid w:val="00010D00"/>
    <w:pPr>
      <w:spacing w:after="120"/>
    </w:pPr>
    <w:rPr>
      <w:b/>
      <w:color w:val="1E4479" w:themeColor="accent1"/>
      <w:sz w:val="24"/>
      <w:szCs w:val="24"/>
    </w:rPr>
  </w:style>
  <w:style w:type="character" w:customStyle="1" w:styleId="DateChar">
    <w:name w:val="Date Char"/>
    <w:basedOn w:val="DefaultParagraphFont"/>
    <w:link w:val="Date"/>
    <w:uiPriority w:val="99"/>
    <w:semiHidden/>
    <w:rsid w:val="006A4BC1"/>
    <w:rPr>
      <w:rFonts w:ascii="Verdana" w:hAnsi="Verdana"/>
      <w:b/>
      <w:color w:val="1E4479" w:themeColor="accent1"/>
      <w:sz w:val="24"/>
      <w:szCs w:val="24"/>
    </w:rPr>
  </w:style>
  <w:style w:type="paragraph" w:styleId="Title">
    <w:name w:val="Title"/>
    <w:basedOn w:val="BodyText"/>
    <w:next w:val="Normal"/>
    <w:link w:val="TitleChar"/>
    <w:uiPriority w:val="26"/>
    <w:semiHidden/>
    <w:rsid w:val="006A4BC1"/>
    <w:pPr>
      <w:spacing w:after="120"/>
      <w:ind w:left="0"/>
    </w:pPr>
    <w:rPr>
      <w:b/>
      <w:color w:val="009FDA" w:themeColor="accent2"/>
      <w:sz w:val="28"/>
    </w:rPr>
  </w:style>
  <w:style w:type="character" w:customStyle="1" w:styleId="TitleChar">
    <w:name w:val="Title Char"/>
    <w:basedOn w:val="DefaultParagraphFont"/>
    <w:link w:val="Title"/>
    <w:uiPriority w:val="26"/>
    <w:semiHidden/>
    <w:rsid w:val="0091596A"/>
    <w:rPr>
      <w:rFonts w:ascii="Verdana" w:hAnsi="Verdana"/>
      <w:b/>
      <w:color w:val="009FDA" w:themeColor="accent2"/>
      <w:sz w:val="28"/>
    </w:rPr>
  </w:style>
  <w:style w:type="paragraph" w:styleId="Subtitle">
    <w:name w:val="Subtitle"/>
    <w:basedOn w:val="Normal"/>
    <w:next w:val="Normal"/>
    <w:link w:val="SubtitleChar"/>
    <w:uiPriority w:val="26"/>
    <w:semiHidden/>
    <w:rsid w:val="003C216D"/>
    <w:rPr>
      <w:color w:val="FFFFFF" w:themeColor="background2"/>
      <w:sz w:val="28"/>
    </w:rPr>
  </w:style>
  <w:style w:type="character" w:customStyle="1" w:styleId="SubtitleChar">
    <w:name w:val="Subtitle Char"/>
    <w:basedOn w:val="DefaultParagraphFont"/>
    <w:link w:val="Subtitle"/>
    <w:uiPriority w:val="26"/>
    <w:semiHidden/>
    <w:rsid w:val="0091596A"/>
    <w:rPr>
      <w:rFonts w:ascii="Verdana" w:hAnsi="Verdana"/>
      <w:color w:val="FFFFFF" w:themeColor="background2"/>
      <w:sz w:val="28"/>
    </w:rPr>
  </w:style>
  <w:style w:type="paragraph" w:customStyle="1" w:styleId="Subtitle2">
    <w:name w:val="Subtitle 2"/>
    <w:basedOn w:val="Normal"/>
    <w:uiPriority w:val="26"/>
    <w:semiHidden/>
    <w:rsid w:val="003C216D"/>
    <w:pPr>
      <w:contextualSpacing/>
    </w:pPr>
    <w:rPr>
      <w:b/>
      <w:color w:val="FFFFFF" w:themeColor="background2"/>
      <w:sz w:val="28"/>
    </w:rPr>
  </w:style>
  <w:style w:type="character" w:styleId="Hyperlink">
    <w:name w:val="Hyperlink"/>
    <w:basedOn w:val="DefaultParagraphFont"/>
    <w:uiPriority w:val="99"/>
    <w:rsid w:val="007F4C84"/>
    <w:rPr>
      <w:color w:val="0000FF" w:themeColor="hyperlink"/>
      <w:u w:val="single"/>
    </w:rPr>
  </w:style>
  <w:style w:type="paragraph" w:styleId="TOC1">
    <w:name w:val="toc 1"/>
    <w:basedOn w:val="Normal"/>
    <w:next w:val="Normal"/>
    <w:autoRedefine/>
    <w:uiPriority w:val="39"/>
    <w:rsid w:val="00F60FB5"/>
    <w:pPr>
      <w:tabs>
        <w:tab w:val="left" w:pos="794"/>
        <w:tab w:val="right" w:pos="9864"/>
      </w:tabs>
      <w:spacing w:after="120"/>
    </w:pPr>
    <w:rPr>
      <w:b/>
      <w:color w:val="1E4479" w:themeColor="accent1"/>
      <w:sz w:val="22"/>
    </w:rPr>
  </w:style>
  <w:style w:type="paragraph" w:styleId="TOC2">
    <w:name w:val="toc 2"/>
    <w:basedOn w:val="Normal"/>
    <w:next w:val="Normal"/>
    <w:autoRedefine/>
    <w:uiPriority w:val="39"/>
    <w:rsid w:val="00F60FB5"/>
    <w:pPr>
      <w:tabs>
        <w:tab w:val="left" w:pos="794"/>
        <w:tab w:val="right" w:pos="9864"/>
      </w:tabs>
      <w:spacing w:after="120"/>
    </w:pPr>
    <w:rPr>
      <w:b/>
      <w:color w:val="009FDA" w:themeColor="accent2"/>
      <w:sz w:val="20"/>
    </w:rPr>
  </w:style>
  <w:style w:type="paragraph" w:styleId="ListParagraph">
    <w:name w:val="List Paragraph"/>
    <w:aliases w:val="Dot pt,No Spacing1,List Paragraph Char Char Char,Indicator Text,List Paragraph1,Bullet 1,Numbered Para 1,Bullet Points,MAIN CONTENT,List Paragraph12,Bullet Style,F5 List Paragraph,Colorful List - Accent 11,Normal numbered,List Paragraph2"/>
    <w:basedOn w:val="Normal"/>
    <w:link w:val="ListParagraphChar"/>
    <w:uiPriority w:val="34"/>
    <w:qFormat/>
    <w:rsid w:val="00A2724F"/>
    <w:pPr>
      <w:ind w:left="720"/>
      <w:contextualSpacing/>
    </w:pPr>
  </w:style>
  <w:style w:type="character" w:styleId="BookTitle">
    <w:name w:val="Book Title"/>
    <w:basedOn w:val="DefaultParagraphFont"/>
    <w:uiPriority w:val="33"/>
    <w:semiHidden/>
    <w:rsid w:val="00A2724F"/>
    <w:rPr>
      <w:b/>
      <w:bCs/>
      <w:smallCaps/>
      <w:spacing w:val="5"/>
    </w:rPr>
  </w:style>
  <w:style w:type="character" w:styleId="SubtleReference">
    <w:name w:val="Subtle Reference"/>
    <w:basedOn w:val="DefaultParagraphFont"/>
    <w:uiPriority w:val="31"/>
    <w:semiHidden/>
    <w:rsid w:val="00A2724F"/>
    <w:rPr>
      <w:smallCaps/>
      <w:color w:val="009FDA" w:themeColor="accent2"/>
      <w:u w:val="single"/>
    </w:rPr>
  </w:style>
  <w:style w:type="paragraph" w:customStyle="1" w:styleId="FilePathinFooter">
    <w:name w:val="File Path in Footer"/>
    <w:uiPriority w:val="99"/>
    <w:semiHidden/>
    <w:rsid w:val="008C0926"/>
    <w:pPr>
      <w:tabs>
        <w:tab w:val="right" w:pos="10597"/>
      </w:tabs>
      <w:spacing w:before="60" w:after="0" w:line="240" w:lineRule="auto"/>
    </w:pPr>
    <w:rPr>
      <w:rFonts w:ascii="Verdana" w:hAnsi="Verdana"/>
      <w:b/>
      <w:caps/>
      <w:color w:val="5E6A71" w:themeColor="text2"/>
      <w:sz w:val="10"/>
    </w:rPr>
  </w:style>
  <w:style w:type="paragraph" w:customStyle="1" w:styleId="ClientName">
    <w:name w:val="Client Name"/>
    <w:basedOn w:val="BodyText"/>
    <w:uiPriority w:val="29"/>
    <w:semiHidden/>
    <w:qFormat/>
    <w:rsid w:val="00983B3E"/>
    <w:rPr>
      <w:sz w:val="28"/>
    </w:rPr>
  </w:style>
  <w:style w:type="paragraph" w:customStyle="1" w:styleId="Message">
    <w:name w:val="Message"/>
    <w:next w:val="BodyText"/>
    <w:uiPriority w:val="26"/>
    <w:semiHidden/>
    <w:rsid w:val="00782E55"/>
    <w:pPr>
      <w:pBdr>
        <w:bottom w:val="single" w:sz="4" w:space="4" w:color="5E6A71" w:themeColor="accent3"/>
      </w:pBdr>
    </w:pPr>
    <w:rPr>
      <w:rFonts w:ascii="Verdana" w:eastAsiaTheme="majorEastAsia" w:hAnsi="Verdana" w:cstheme="majorBidi"/>
      <w:b/>
      <w:bCs/>
      <w:color w:val="009FDA" w:themeColor="accent2"/>
      <w:sz w:val="24"/>
    </w:rPr>
  </w:style>
  <w:style w:type="character" w:styleId="PlaceholderText">
    <w:name w:val="Placeholder Text"/>
    <w:basedOn w:val="DefaultParagraphFont"/>
    <w:uiPriority w:val="99"/>
    <w:semiHidden/>
    <w:rsid w:val="00C64314"/>
    <w:rPr>
      <w:color w:val="808080"/>
    </w:rPr>
  </w:style>
  <w:style w:type="paragraph" w:styleId="List">
    <w:name w:val="List"/>
    <w:basedOn w:val="Normal"/>
    <w:uiPriority w:val="5"/>
    <w:qFormat/>
    <w:rsid w:val="00843748"/>
    <w:pPr>
      <w:numPr>
        <w:numId w:val="2"/>
      </w:numPr>
      <w:spacing w:after="120" w:line="240" w:lineRule="atLeast"/>
    </w:pPr>
  </w:style>
  <w:style w:type="paragraph" w:styleId="List2">
    <w:name w:val="List 2"/>
    <w:basedOn w:val="List"/>
    <w:uiPriority w:val="5"/>
    <w:qFormat/>
    <w:rsid w:val="00843748"/>
    <w:pPr>
      <w:numPr>
        <w:ilvl w:val="1"/>
      </w:numPr>
    </w:pPr>
  </w:style>
  <w:style w:type="paragraph" w:styleId="List3">
    <w:name w:val="List 3"/>
    <w:basedOn w:val="Normal"/>
    <w:uiPriority w:val="5"/>
    <w:qFormat/>
    <w:rsid w:val="00843748"/>
    <w:pPr>
      <w:numPr>
        <w:ilvl w:val="2"/>
        <w:numId w:val="2"/>
      </w:numPr>
      <w:spacing w:after="120" w:line="240" w:lineRule="atLeast"/>
    </w:pPr>
  </w:style>
  <w:style w:type="paragraph" w:styleId="List4">
    <w:name w:val="List 4"/>
    <w:basedOn w:val="Normal"/>
    <w:uiPriority w:val="5"/>
    <w:qFormat/>
    <w:rsid w:val="00843748"/>
    <w:pPr>
      <w:numPr>
        <w:ilvl w:val="3"/>
        <w:numId w:val="2"/>
      </w:numPr>
      <w:spacing w:after="120" w:line="240" w:lineRule="atLeast"/>
    </w:pPr>
  </w:style>
  <w:style w:type="paragraph" w:styleId="ListBullet2">
    <w:name w:val="List Bullet 2"/>
    <w:basedOn w:val="Normal"/>
    <w:uiPriority w:val="5"/>
    <w:qFormat/>
    <w:rsid w:val="00843748"/>
    <w:pPr>
      <w:numPr>
        <w:ilvl w:val="1"/>
        <w:numId w:val="3"/>
      </w:numPr>
      <w:spacing w:after="120" w:line="240" w:lineRule="atLeast"/>
    </w:pPr>
  </w:style>
  <w:style w:type="paragraph" w:styleId="ListBullet3">
    <w:name w:val="List Bullet 3"/>
    <w:basedOn w:val="Normal"/>
    <w:uiPriority w:val="5"/>
    <w:qFormat/>
    <w:rsid w:val="00843748"/>
    <w:pPr>
      <w:numPr>
        <w:ilvl w:val="2"/>
        <w:numId w:val="3"/>
      </w:numPr>
      <w:spacing w:after="120" w:line="240" w:lineRule="atLeast"/>
    </w:pPr>
  </w:style>
  <w:style w:type="paragraph" w:styleId="ListBullet4">
    <w:name w:val="List Bullet 4"/>
    <w:basedOn w:val="Normal"/>
    <w:uiPriority w:val="5"/>
    <w:qFormat/>
    <w:rsid w:val="00843748"/>
    <w:pPr>
      <w:numPr>
        <w:ilvl w:val="3"/>
        <w:numId w:val="3"/>
      </w:numPr>
      <w:spacing w:after="120" w:line="240" w:lineRule="atLeast"/>
    </w:pPr>
  </w:style>
  <w:style w:type="paragraph" w:styleId="ListNumber">
    <w:name w:val="List Number"/>
    <w:basedOn w:val="Normal"/>
    <w:uiPriority w:val="6"/>
    <w:rsid w:val="00843748"/>
    <w:pPr>
      <w:numPr>
        <w:numId w:val="4"/>
      </w:numPr>
      <w:spacing w:after="120" w:line="240" w:lineRule="atLeast"/>
    </w:pPr>
  </w:style>
  <w:style w:type="paragraph" w:styleId="ListNumber2">
    <w:name w:val="List Number 2"/>
    <w:basedOn w:val="Normal"/>
    <w:uiPriority w:val="6"/>
    <w:rsid w:val="00843748"/>
    <w:pPr>
      <w:tabs>
        <w:tab w:val="num" w:pos="567"/>
      </w:tabs>
      <w:spacing w:after="120" w:line="240" w:lineRule="atLeast"/>
      <w:ind w:left="567" w:hanging="284"/>
    </w:pPr>
  </w:style>
  <w:style w:type="paragraph" w:styleId="ListNumber3">
    <w:name w:val="List Number 3"/>
    <w:basedOn w:val="Normal"/>
    <w:uiPriority w:val="6"/>
    <w:rsid w:val="00843748"/>
    <w:pPr>
      <w:numPr>
        <w:ilvl w:val="2"/>
        <w:numId w:val="4"/>
      </w:numPr>
      <w:spacing w:after="120" w:line="240" w:lineRule="atLeast"/>
    </w:pPr>
  </w:style>
  <w:style w:type="paragraph" w:styleId="ListNumber4">
    <w:name w:val="List Number 4"/>
    <w:basedOn w:val="Normal"/>
    <w:uiPriority w:val="6"/>
    <w:rsid w:val="00843748"/>
    <w:pPr>
      <w:numPr>
        <w:ilvl w:val="3"/>
        <w:numId w:val="4"/>
      </w:numPr>
      <w:spacing w:after="120" w:line="240" w:lineRule="atLeast"/>
    </w:pPr>
  </w:style>
  <w:style w:type="paragraph" w:customStyle="1" w:styleId="Titleblock">
    <w:name w:val="Title block"/>
    <w:basedOn w:val="NoSpacing"/>
    <w:link w:val="TitleblockChar"/>
    <w:uiPriority w:val="17"/>
    <w:qFormat/>
    <w:rsid w:val="00ED3C58"/>
    <w:pPr>
      <w:ind w:left="0"/>
    </w:pPr>
    <w:rPr>
      <w:b/>
      <w:color w:val="1E4479" w:themeColor="accent1"/>
    </w:rPr>
  </w:style>
  <w:style w:type="character" w:customStyle="1" w:styleId="Heading6Char">
    <w:name w:val="Heading 6 Char"/>
    <w:basedOn w:val="DefaultParagraphFont"/>
    <w:link w:val="Heading6"/>
    <w:uiPriority w:val="27"/>
    <w:semiHidden/>
    <w:rsid w:val="0091596A"/>
    <w:rPr>
      <w:rFonts w:asciiTheme="majorHAnsi" w:eastAsiaTheme="majorEastAsia" w:hAnsiTheme="majorHAnsi" w:cstheme="majorBidi"/>
      <w:color w:val="0F213C" w:themeColor="accent1" w:themeShade="7F"/>
      <w:sz w:val="18"/>
    </w:rPr>
  </w:style>
  <w:style w:type="character" w:customStyle="1" w:styleId="NoSpacingChar">
    <w:name w:val="No Spacing Char"/>
    <w:basedOn w:val="DefaultParagraphFont"/>
    <w:link w:val="NoSpacing"/>
    <w:uiPriority w:val="1"/>
    <w:rsid w:val="00D20B73"/>
    <w:rPr>
      <w:rFonts w:ascii="Verdana" w:hAnsi="Verdana"/>
      <w:color w:val="5E6A71" w:themeColor="text2"/>
      <w:sz w:val="18"/>
    </w:rPr>
  </w:style>
  <w:style w:type="character" w:customStyle="1" w:styleId="TitleblockChar">
    <w:name w:val="Title block Char"/>
    <w:basedOn w:val="NoSpacingChar"/>
    <w:link w:val="Titleblock"/>
    <w:uiPriority w:val="17"/>
    <w:rsid w:val="00D20B73"/>
    <w:rPr>
      <w:rFonts w:ascii="Verdana" w:hAnsi="Verdana"/>
      <w:b/>
      <w:color w:val="1E4479" w:themeColor="accent1"/>
      <w:sz w:val="18"/>
    </w:rPr>
  </w:style>
  <w:style w:type="character" w:customStyle="1" w:styleId="Heading7Char">
    <w:name w:val="Heading 7 Char"/>
    <w:basedOn w:val="DefaultParagraphFont"/>
    <w:link w:val="Heading7"/>
    <w:uiPriority w:val="27"/>
    <w:semiHidden/>
    <w:rsid w:val="0091596A"/>
    <w:rPr>
      <w:rFonts w:asciiTheme="majorHAnsi" w:eastAsiaTheme="majorEastAsia" w:hAnsiTheme="majorHAnsi" w:cstheme="majorBidi"/>
      <w:i/>
      <w:iCs/>
      <w:color w:val="0F213C" w:themeColor="accent1" w:themeShade="7F"/>
      <w:sz w:val="18"/>
    </w:rPr>
  </w:style>
  <w:style w:type="character" w:customStyle="1" w:styleId="Heading8Char">
    <w:name w:val="Heading 8 Char"/>
    <w:basedOn w:val="DefaultParagraphFont"/>
    <w:link w:val="Heading8"/>
    <w:uiPriority w:val="27"/>
    <w:semiHidden/>
    <w:rsid w:val="009159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27"/>
    <w:semiHidden/>
    <w:rsid w:val="0091596A"/>
    <w:rPr>
      <w:rFonts w:asciiTheme="majorHAnsi" w:eastAsiaTheme="majorEastAsia" w:hAnsiTheme="majorHAnsi" w:cstheme="majorBidi"/>
      <w:i/>
      <w:iCs/>
      <w:color w:val="272727" w:themeColor="text1" w:themeTint="D8"/>
      <w:sz w:val="21"/>
      <w:szCs w:val="21"/>
    </w:rPr>
  </w:style>
  <w:style w:type="paragraph" w:customStyle="1" w:styleId="Subject">
    <w:name w:val="Subject"/>
    <w:next w:val="BodyText"/>
    <w:uiPriority w:val="26"/>
    <w:semiHidden/>
    <w:qFormat/>
    <w:rsid w:val="006A4BC1"/>
    <w:pPr>
      <w:pBdr>
        <w:bottom w:val="single" w:sz="4" w:space="4" w:color="5E6A71" w:themeColor="accent3"/>
      </w:pBdr>
      <w:spacing w:before="1400"/>
    </w:pPr>
    <w:rPr>
      <w:rFonts w:ascii="Verdana" w:eastAsiaTheme="majorEastAsia" w:hAnsi="Verdana" w:cstheme="majorBidi"/>
      <w:b/>
      <w:bCs/>
      <w:color w:val="009FDA" w:themeColor="accent2"/>
      <w:sz w:val="24"/>
    </w:rPr>
  </w:style>
  <w:style w:type="paragraph" w:customStyle="1" w:styleId="Titleblock-project">
    <w:name w:val="Title block - project"/>
    <w:basedOn w:val="Titleblock"/>
    <w:link w:val="Titleblock-projectChar"/>
    <w:uiPriority w:val="17"/>
    <w:qFormat/>
    <w:rsid w:val="004E1541"/>
  </w:style>
  <w:style w:type="paragraph" w:customStyle="1" w:styleId="Titleblock-client">
    <w:name w:val="Title block - client"/>
    <w:basedOn w:val="Titleblock"/>
    <w:link w:val="Titleblock-clientChar"/>
    <w:uiPriority w:val="17"/>
    <w:qFormat/>
    <w:rsid w:val="004E1541"/>
  </w:style>
  <w:style w:type="character" w:customStyle="1" w:styleId="Titleblock-projectChar">
    <w:name w:val="Title block - project Char"/>
    <w:basedOn w:val="TitleblockChar"/>
    <w:link w:val="Titleblock-project"/>
    <w:uiPriority w:val="17"/>
    <w:rsid w:val="00D20B73"/>
    <w:rPr>
      <w:rFonts w:ascii="Verdana" w:hAnsi="Verdana"/>
      <w:b/>
      <w:color w:val="1E4479" w:themeColor="accent1"/>
      <w:sz w:val="18"/>
    </w:rPr>
  </w:style>
  <w:style w:type="character" w:customStyle="1" w:styleId="Titleblock-clientChar">
    <w:name w:val="Title block - client Char"/>
    <w:basedOn w:val="TitleblockChar"/>
    <w:link w:val="Titleblock-client"/>
    <w:uiPriority w:val="17"/>
    <w:rsid w:val="00D20B73"/>
    <w:rPr>
      <w:rFonts w:ascii="Verdana" w:hAnsi="Verdana"/>
      <w:b/>
      <w:color w:val="1E4479" w:themeColor="accent1"/>
      <w:sz w:val="18"/>
    </w:rPr>
  </w:style>
  <w:style w:type="paragraph" w:customStyle="1" w:styleId="Normal-Nospacing">
    <w:name w:val="Normal - No spacing"/>
    <w:basedOn w:val="Normal"/>
    <w:link w:val="Normal-NospacingChar"/>
    <w:uiPriority w:val="16"/>
    <w:qFormat/>
    <w:rsid w:val="00ED16E0"/>
    <w:pPr>
      <w:spacing w:after="0"/>
    </w:pPr>
  </w:style>
  <w:style w:type="character" w:customStyle="1" w:styleId="Normal-NospacingChar">
    <w:name w:val="Normal - No spacing Char"/>
    <w:basedOn w:val="DefaultParagraphFont"/>
    <w:link w:val="Normal-Nospacing"/>
    <w:uiPriority w:val="16"/>
    <w:rsid w:val="00D20B73"/>
    <w:rPr>
      <w:rFonts w:ascii="Verdana" w:hAnsi="Verdana"/>
      <w:color w:val="5E6A71" w:themeColor="text2"/>
      <w:sz w:val="18"/>
    </w:rPr>
  </w:style>
  <w:style w:type="paragraph" w:customStyle="1" w:styleId="Contactdetails">
    <w:name w:val="Contact details"/>
    <w:basedOn w:val="Normal-Nospacing"/>
    <w:link w:val="ContactdetailsChar"/>
    <w:uiPriority w:val="14"/>
    <w:qFormat/>
    <w:rsid w:val="00A03DF1"/>
    <w:rPr>
      <w:color w:val="1E4479" w:themeColor="accent1"/>
    </w:rPr>
  </w:style>
  <w:style w:type="paragraph" w:customStyle="1" w:styleId="Contactdetailsbold">
    <w:name w:val="Contact details bold"/>
    <w:basedOn w:val="Normal-Nospacing"/>
    <w:link w:val="ContactdetailsboldChar"/>
    <w:uiPriority w:val="14"/>
    <w:qFormat/>
    <w:rsid w:val="00A03DF1"/>
    <w:rPr>
      <w:b/>
      <w:color w:val="1E4479" w:themeColor="accent1"/>
    </w:rPr>
  </w:style>
  <w:style w:type="character" w:customStyle="1" w:styleId="ContactdetailsChar">
    <w:name w:val="Contact details Char"/>
    <w:basedOn w:val="Normal-NospacingChar"/>
    <w:link w:val="Contactdetails"/>
    <w:uiPriority w:val="14"/>
    <w:rsid w:val="00D20B73"/>
    <w:rPr>
      <w:rFonts w:ascii="Verdana" w:hAnsi="Verdana"/>
      <w:color w:val="1E4479" w:themeColor="accent1"/>
      <w:sz w:val="18"/>
    </w:rPr>
  </w:style>
  <w:style w:type="paragraph" w:customStyle="1" w:styleId="ContentsTitle">
    <w:name w:val="Contents Title"/>
    <w:basedOn w:val="Normal"/>
    <w:link w:val="ContentsTitleChar"/>
    <w:uiPriority w:val="17"/>
    <w:qFormat/>
    <w:rsid w:val="0010780C"/>
    <w:pPr>
      <w:pBdr>
        <w:bottom w:val="single" w:sz="2" w:space="4" w:color="5E6A71" w:themeColor="text2"/>
      </w:pBdr>
      <w:spacing w:after="80" w:line="276" w:lineRule="auto"/>
    </w:pPr>
    <w:rPr>
      <w:b/>
      <w:color w:val="009FDA" w:themeColor="accent2"/>
      <w:sz w:val="28"/>
    </w:rPr>
  </w:style>
  <w:style w:type="character" w:customStyle="1" w:styleId="ContactdetailsboldChar">
    <w:name w:val="Contact details bold Char"/>
    <w:basedOn w:val="Normal-NospacingChar"/>
    <w:link w:val="Contactdetailsbold"/>
    <w:uiPriority w:val="14"/>
    <w:rsid w:val="00D20B73"/>
    <w:rPr>
      <w:rFonts w:ascii="Verdana" w:hAnsi="Verdana"/>
      <w:b/>
      <w:color w:val="1E4479" w:themeColor="accent1"/>
      <w:sz w:val="18"/>
    </w:rPr>
  </w:style>
  <w:style w:type="character" w:customStyle="1" w:styleId="ContentsTitleChar">
    <w:name w:val="Contents Title Char"/>
    <w:basedOn w:val="DefaultParagraphFont"/>
    <w:link w:val="ContentsTitle"/>
    <w:uiPriority w:val="17"/>
    <w:rsid w:val="0010780C"/>
    <w:rPr>
      <w:rFonts w:ascii="Verdana" w:hAnsi="Verdana"/>
      <w:b/>
      <w:color w:val="009FDA" w:themeColor="accent2"/>
      <w:sz w:val="28"/>
    </w:rPr>
  </w:style>
  <w:style w:type="paragraph" w:customStyle="1" w:styleId="Filepath">
    <w:name w:val="Filepath"/>
    <w:basedOn w:val="Disclaimer"/>
    <w:link w:val="FilepathChar"/>
    <w:uiPriority w:val="14"/>
    <w:qFormat/>
    <w:rsid w:val="000C140A"/>
    <w:pPr>
      <w:framePr w:hSpace="181" w:wrap="around" w:hAnchor="text" w:yAlign="bottom"/>
      <w:suppressOverlap/>
    </w:pPr>
  </w:style>
  <w:style w:type="character" w:customStyle="1" w:styleId="DisclaimerChar">
    <w:name w:val="Disclaimer Char"/>
    <w:basedOn w:val="DefaultParagraphFont"/>
    <w:link w:val="Disclaimer"/>
    <w:uiPriority w:val="14"/>
    <w:rsid w:val="00D20B73"/>
    <w:rPr>
      <w:rFonts w:ascii="Verdana" w:hAnsi="Verdana"/>
      <w:color w:val="5E6A71" w:themeColor="text2"/>
      <w:sz w:val="14"/>
      <w:szCs w:val="14"/>
    </w:rPr>
  </w:style>
  <w:style w:type="character" w:customStyle="1" w:styleId="FilepathChar">
    <w:name w:val="Filepath Char"/>
    <w:basedOn w:val="DisclaimerChar"/>
    <w:link w:val="Filepath"/>
    <w:uiPriority w:val="14"/>
    <w:rsid w:val="00D20B73"/>
    <w:rPr>
      <w:rFonts w:ascii="Verdana" w:hAnsi="Verdana"/>
      <w:color w:val="5E6A71" w:themeColor="text2"/>
      <w:sz w:val="14"/>
      <w:szCs w:val="14"/>
    </w:rPr>
  </w:style>
  <w:style w:type="paragraph" w:styleId="TOC3">
    <w:name w:val="toc 3"/>
    <w:basedOn w:val="Normal"/>
    <w:next w:val="Normal"/>
    <w:autoRedefine/>
    <w:uiPriority w:val="39"/>
    <w:rsid w:val="00F60FB5"/>
    <w:pPr>
      <w:tabs>
        <w:tab w:val="left" w:pos="794"/>
        <w:tab w:val="right" w:pos="9864"/>
      </w:tabs>
      <w:spacing w:after="120"/>
    </w:pPr>
    <w:rPr>
      <w:b/>
    </w:rPr>
  </w:style>
  <w:style w:type="paragraph" w:styleId="TOC4">
    <w:name w:val="toc 4"/>
    <w:basedOn w:val="Normal"/>
    <w:next w:val="Normal"/>
    <w:autoRedefine/>
    <w:uiPriority w:val="39"/>
    <w:rsid w:val="00B83B42"/>
    <w:pPr>
      <w:tabs>
        <w:tab w:val="left" w:pos="794"/>
        <w:tab w:val="right" w:pos="9854"/>
      </w:tabs>
      <w:spacing w:after="100"/>
    </w:pPr>
  </w:style>
  <w:style w:type="paragraph" w:customStyle="1" w:styleId="ReportTitle">
    <w:name w:val="Report Title"/>
    <w:basedOn w:val="Normal"/>
    <w:link w:val="ReportTitleChar"/>
    <w:uiPriority w:val="17"/>
    <w:qFormat/>
    <w:rsid w:val="00A9163D"/>
    <w:rPr>
      <w:color w:val="FFFFFF" w:themeColor="background2"/>
      <w:sz w:val="24"/>
    </w:rPr>
  </w:style>
  <w:style w:type="paragraph" w:customStyle="1" w:styleId="ReportProject">
    <w:name w:val="Report Project"/>
    <w:basedOn w:val="Normal"/>
    <w:link w:val="ReportProjectChar"/>
    <w:uiPriority w:val="17"/>
    <w:qFormat/>
    <w:rsid w:val="00546D41"/>
    <w:pPr>
      <w:tabs>
        <w:tab w:val="center" w:pos="4513"/>
        <w:tab w:val="right" w:pos="9026"/>
      </w:tabs>
      <w:spacing w:before="240" w:after="60"/>
    </w:pPr>
    <w:rPr>
      <w:b/>
      <w:color w:val="FFFFFF" w:themeColor="background2"/>
      <w:sz w:val="24"/>
    </w:rPr>
  </w:style>
  <w:style w:type="character" w:customStyle="1" w:styleId="ReportTitleChar">
    <w:name w:val="Report Title Char"/>
    <w:basedOn w:val="DefaultParagraphFont"/>
    <w:link w:val="ReportTitle"/>
    <w:uiPriority w:val="17"/>
    <w:rsid w:val="00D20B73"/>
    <w:rPr>
      <w:rFonts w:ascii="Verdana" w:hAnsi="Verdana"/>
      <w:color w:val="FFFFFF" w:themeColor="background2"/>
      <w:sz w:val="24"/>
    </w:rPr>
  </w:style>
  <w:style w:type="paragraph" w:customStyle="1" w:styleId="ReportClient">
    <w:name w:val="Report Client"/>
    <w:basedOn w:val="Normal"/>
    <w:link w:val="ReportClientChar"/>
    <w:uiPriority w:val="17"/>
    <w:qFormat/>
    <w:rsid w:val="00546D41"/>
    <w:pPr>
      <w:spacing w:after="60"/>
    </w:pPr>
    <w:rPr>
      <w:b/>
      <w:color w:val="FFFFFF" w:themeColor="background2"/>
      <w:sz w:val="24"/>
    </w:rPr>
  </w:style>
  <w:style w:type="character" w:customStyle="1" w:styleId="ReportProjectChar">
    <w:name w:val="Report Project Char"/>
    <w:basedOn w:val="DefaultParagraphFont"/>
    <w:link w:val="ReportProject"/>
    <w:uiPriority w:val="17"/>
    <w:rsid w:val="00D20B73"/>
    <w:rPr>
      <w:rFonts w:ascii="Verdana" w:hAnsi="Verdana"/>
      <w:b/>
      <w:color w:val="FFFFFF" w:themeColor="background2"/>
      <w:sz w:val="24"/>
    </w:rPr>
  </w:style>
  <w:style w:type="paragraph" w:customStyle="1" w:styleId="ReportStrapline">
    <w:name w:val="Report Strapline"/>
    <w:basedOn w:val="Normal"/>
    <w:link w:val="ReportStraplineChar"/>
    <w:uiPriority w:val="17"/>
    <w:qFormat/>
    <w:rsid w:val="00A9163D"/>
    <w:pPr>
      <w:spacing w:after="0"/>
    </w:pPr>
    <w:rPr>
      <w:b/>
      <w:color w:val="FFFFFF" w:themeColor="background1"/>
      <w:sz w:val="14"/>
    </w:rPr>
  </w:style>
  <w:style w:type="character" w:customStyle="1" w:styleId="ReportClientChar">
    <w:name w:val="Report Client Char"/>
    <w:basedOn w:val="DefaultParagraphFont"/>
    <w:link w:val="ReportClient"/>
    <w:uiPriority w:val="17"/>
    <w:rsid w:val="00D20B73"/>
    <w:rPr>
      <w:rFonts w:ascii="Verdana" w:hAnsi="Verdana"/>
      <w:b/>
      <w:color w:val="FFFFFF" w:themeColor="background2"/>
      <w:sz w:val="24"/>
    </w:rPr>
  </w:style>
  <w:style w:type="paragraph" w:customStyle="1" w:styleId="SupportingHeader">
    <w:name w:val="Supporting Header"/>
    <w:basedOn w:val="Normal"/>
    <w:link w:val="SupportingHeaderChar"/>
    <w:uiPriority w:val="16"/>
    <w:qFormat/>
    <w:rsid w:val="00943EB4"/>
    <w:pPr>
      <w:spacing w:after="0"/>
    </w:pPr>
    <w:rPr>
      <w:sz w:val="22"/>
    </w:rPr>
  </w:style>
  <w:style w:type="character" w:customStyle="1" w:styleId="ReportStraplineChar">
    <w:name w:val="Report Strapline Char"/>
    <w:basedOn w:val="DefaultParagraphFont"/>
    <w:link w:val="ReportStrapline"/>
    <w:uiPriority w:val="17"/>
    <w:rsid w:val="00D20B73"/>
    <w:rPr>
      <w:rFonts w:ascii="Verdana" w:hAnsi="Verdana"/>
      <w:b/>
      <w:color w:val="FFFFFF" w:themeColor="background1"/>
      <w:sz w:val="14"/>
    </w:rPr>
  </w:style>
  <w:style w:type="character" w:customStyle="1" w:styleId="A0">
    <w:name w:val="A0"/>
    <w:uiPriority w:val="99"/>
    <w:rsid w:val="00943EB4"/>
    <w:rPr>
      <w:rFonts w:cs="Verdana"/>
      <w:color w:val="000000"/>
    </w:rPr>
  </w:style>
  <w:style w:type="character" w:customStyle="1" w:styleId="SupportingHeaderChar">
    <w:name w:val="Supporting Header Char"/>
    <w:basedOn w:val="DefaultParagraphFont"/>
    <w:link w:val="SupportingHeader"/>
    <w:uiPriority w:val="16"/>
    <w:rsid w:val="00D20B73"/>
    <w:rPr>
      <w:rFonts w:ascii="Verdana" w:hAnsi="Verdana"/>
      <w:color w:val="5E6A71" w:themeColor="text2"/>
    </w:rPr>
  </w:style>
  <w:style w:type="paragraph" w:customStyle="1" w:styleId="AppendixTitle">
    <w:name w:val="Appendix Title"/>
    <w:basedOn w:val="Normal"/>
    <w:next w:val="AppendixSubheading"/>
    <w:link w:val="AppendixTitleChar"/>
    <w:uiPriority w:val="8"/>
    <w:qFormat/>
    <w:rsid w:val="006B0C40"/>
    <w:pPr>
      <w:pBdr>
        <w:bottom w:val="single" w:sz="2" w:space="4" w:color="5E6A71" w:themeColor="text2"/>
      </w:pBdr>
    </w:pPr>
    <w:rPr>
      <w:b/>
      <w:color w:val="009FDA" w:themeColor="accent2"/>
      <w:sz w:val="28"/>
      <w:szCs w:val="28"/>
    </w:rPr>
  </w:style>
  <w:style w:type="paragraph" w:customStyle="1" w:styleId="AppendixSubheading">
    <w:name w:val="Appendix Subheading"/>
    <w:basedOn w:val="Normal"/>
    <w:next w:val="AppendixContent"/>
    <w:link w:val="AppendixSubheadingChar"/>
    <w:uiPriority w:val="9"/>
    <w:qFormat/>
    <w:rsid w:val="001925D5"/>
    <w:pPr>
      <w:spacing w:after="120"/>
    </w:pPr>
    <w:rPr>
      <w:b/>
      <w:color w:val="1E4479" w:themeColor="accent1"/>
      <w:sz w:val="22"/>
      <w:szCs w:val="24"/>
    </w:rPr>
  </w:style>
  <w:style w:type="character" w:customStyle="1" w:styleId="AppendixTitleChar">
    <w:name w:val="Appendix Title Char"/>
    <w:basedOn w:val="DefaultParagraphFont"/>
    <w:link w:val="AppendixTitle"/>
    <w:uiPriority w:val="8"/>
    <w:rsid w:val="00D7412E"/>
    <w:rPr>
      <w:rFonts w:ascii="Verdana" w:hAnsi="Verdana"/>
      <w:b/>
      <w:color w:val="009FDA" w:themeColor="accent2"/>
      <w:sz w:val="28"/>
      <w:szCs w:val="28"/>
    </w:rPr>
  </w:style>
  <w:style w:type="character" w:customStyle="1" w:styleId="A7">
    <w:name w:val="A7"/>
    <w:uiPriority w:val="99"/>
    <w:rsid w:val="00D20B73"/>
    <w:rPr>
      <w:rFonts w:cs="Verdana"/>
      <w:b/>
      <w:bCs/>
      <w:color w:val="000000"/>
      <w:sz w:val="22"/>
      <w:szCs w:val="22"/>
    </w:rPr>
  </w:style>
  <w:style w:type="character" w:customStyle="1" w:styleId="AppendixSubheadingChar">
    <w:name w:val="Appendix Subheading Char"/>
    <w:basedOn w:val="DefaultParagraphFont"/>
    <w:link w:val="AppendixSubheading"/>
    <w:uiPriority w:val="9"/>
    <w:rsid w:val="00D7412E"/>
    <w:rPr>
      <w:rFonts w:ascii="Verdana" w:hAnsi="Verdana"/>
      <w:b/>
      <w:color w:val="1E4479" w:themeColor="accent1"/>
      <w:szCs w:val="24"/>
    </w:rPr>
  </w:style>
  <w:style w:type="paragraph" w:customStyle="1" w:styleId="AppendixContent">
    <w:name w:val="Appendix Content"/>
    <w:basedOn w:val="Normal"/>
    <w:link w:val="AppendixContentChar"/>
    <w:uiPriority w:val="9"/>
    <w:qFormat/>
    <w:rsid w:val="001925D5"/>
    <w:pPr>
      <w:spacing w:line="240" w:lineRule="atLeast"/>
    </w:pPr>
  </w:style>
  <w:style w:type="character" w:customStyle="1" w:styleId="AppendixContentChar">
    <w:name w:val="Appendix Content Char"/>
    <w:basedOn w:val="DefaultParagraphFont"/>
    <w:link w:val="AppendixContent"/>
    <w:uiPriority w:val="9"/>
    <w:rsid w:val="001925D5"/>
    <w:rPr>
      <w:rFonts w:ascii="Verdana" w:hAnsi="Verdana"/>
      <w:color w:val="5E6A71" w:themeColor="text2"/>
      <w:sz w:val="18"/>
    </w:rPr>
  </w:style>
  <w:style w:type="paragraph" w:customStyle="1" w:styleId="ClientReportTitle">
    <w:name w:val="Client Report Title"/>
    <w:basedOn w:val="Normal"/>
    <w:link w:val="ClientReportTitleChar"/>
    <w:uiPriority w:val="17"/>
    <w:qFormat/>
    <w:rsid w:val="00A02554"/>
    <w:pPr>
      <w:spacing w:after="0"/>
    </w:pPr>
    <w:rPr>
      <w:b/>
      <w:color w:val="1E4479" w:themeColor="accent1"/>
      <w:sz w:val="56"/>
    </w:rPr>
  </w:style>
  <w:style w:type="character" w:customStyle="1" w:styleId="ClientReportTitleChar">
    <w:name w:val="Client Report Title Char"/>
    <w:basedOn w:val="DefaultParagraphFont"/>
    <w:link w:val="ClientReportTitle"/>
    <w:uiPriority w:val="17"/>
    <w:rsid w:val="00A02554"/>
    <w:rPr>
      <w:rFonts w:ascii="Verdana" w:hAnsi="Verdana"/>
      <w:b/>
      <w:color w:val="1E4479" w:themeColor="accent1"/>
      <w:sz w:val="56"/>
    </w:rPr>
  </w:style>
  <w:style w:type="paragraph" w:customStyle="1" w:styleId="CSCVTitle">
    <w:name w:val="CSCV Title"/>
    <w:basedOn w:val="BodyText"/>
    <w:link w:val="CSCVTitleChar"/>
    <w:uiPriority w:val="22"/>
    <w:qFormat/>
    <w:rsid w:val="00660C65"/>
    <w:pPr>
      <w:spacing w:after="0" w:line="276" w:lineRule="auto"/>
      <w:ind w:left="0"/>
    </w:pPr>
    <w:rPr>
      <w:b/>
      <w:color w:val="009FDA" w:themeColor="accent2"/>
      <w:sz w:val="56"/>
      <w:szCs w:val="56"/>
    </w:rPr>
  </w:style>
  <w:style w:type="paragraph" w:customStyle="1" w:styleId="CSCVSupportingHeading">
    <w:name w:val="CSCV Supporting Heading"/>
    <w:basedOn w:val="SupportingHeading"/>
    <w:link w:val="CSCVSupportingHeadingChar"/>
    <w:uiPriority w:val="22"/>
    <w:qFormat/>
    <w:rsid w:val="00660C65"/>
    <w:pPr>
      <w:spacing w:after="0"/>
      <w:contextualSpacing w:val="0"/>
    </w:pPr>
  </w:style>
  <w:style w:type="character" w:customStyle="1" w:styleId="CSCVTitleChar">
    <w:name w:val="CSCV Title Char"/>
    <w:basedOn w:val="BodyTextChar"/>
    <w:link w:val="CSCVTitle"/>
    <w:uiPriority w:val="22"/>
    <w:rsid w:val="0091596A"/>
    <w:rPr>
      <w:rFonts w:ascii="Verdana" w:hAnsi="Verdana"/>
      <w:b/>
      <w:color w:val="009FDA" w:themeColor="accent2"/>
      <w:sz w:val="56"/>
      <w:szCs w:val="56"/>
    </w:rPr>
  </w:style>
  <w:style w:type="character" w:customStyle="1" w:styleId="SupportingHeadingChar">
    <w:name w:val="Supporting Heading Char"/>
    <w:basedOn w:val="DefaultParagraphFont"/>
    <w:link w:val="SupportingHeading"/>
    <w:uiPriority w:val="16"/>
    <w:rsid w:val="00660C65"/>
    <w:rPr>
      <w:rFonts w:ascii="Verdana" w:hAnsi="Verdana"/>
      <w:color w:val="5E6A71" w:themeColor="text2"/>
      <w:sz w:val="28"/>
    </w:rPr>
  </w:style>
  <w:style w:type="character" w:customStyle="1" w:styleId="CSCVSupportingHeadingChar">
    <w:name w:val="CSCV Supporting Heading Char"/>
    <w:basedOn w:val="SupportingHeadingChar"/>
    <w:link w:val="CSCVSupportingHeading"/>
    <w:uiPriority w:val="22"/>
    <w:rsid w:val="0091596A"/>
    <w:rPr>
      <w:rFonts w:ascii="Verdana" w:hAnsi="Verdana"/>
      <w:color w:val="5E6A71" w:themeColor="text2"/>
      <w:sz w:val="28"/>
    </w:rPr>
  </w:style>
  <w:style w:type="paragraph" w:customStyle="1" w:styleId="CS-ListBullet">
    <w:name w:val="CS-List Bullet"/>
    <w:link w:val="CS-ListBulletChar"/>
    <w:uiPriority w:val="18"/>
    <w:qFormat/>
    <w:rsid w:val="00AD0E8D"/>
    <w:pPr>
      <w:numPr>
        <w:numId w:val="5"/>
      </w:numPr>
      <w:spacing w:after="120" w:line="240" w:lineRule="atLeast"/>
      <w:ind w:left="284" w:hanging="284"/>
    </w:pPr>
    <w:rPr>
      <w:rFonts w:ascii="Verdana" w:hAnsi="Verdana"/>
      <w:color w:val="5E6A71" w:themeColor="text2"/>
      <w:sz w:val="18"/>
    </w:rPr>
  </w:style>
  <w:style w:type="character" w:customStyle="1" w:styleId="CS-ListBulletChar">
    <w:name w:val="CS-List Bullet Char"/>
    <w:basedOn w:val="DefaultParagraphFont"/>
    <w:link w:val="CS-ListBullet"/>
    <w:uiPriority w:val="18"/>
    <w:rsid w:val="0091596A"/>
    <w:rPr>
      <w:rFonts w:ascii="Verdana" w:hAnsi="Verdana"/>
      <w:color w:val="5E6A71" w:themeColor="text2"/>
      <w:sz w:val="18"/>
    </w:rPr>
  </w:style>
  <w:style w:type="paragraph" w:customStyle="1" w:styleId="CV-ListBullet">
    <w:name w:val="CV-List Bullet"/>
    <w:link w:val="CV-ListBulletChar"/>
    <w:uiPriority w:val="20"/>
    <w:qFormat/>
    <w:rsid w:val="00F41597"/>
    <w:pPr>
      <w:numPr>
        <w:numId w:val="9"/>
      </w:numPr>
      <w:tabs>
        <w:tab w:val="num" w:pos="284"/>
      </w:tabs>
      <w:spacing w:after="120" w:line="240" w:lineRule="atLeast"/>
      <w:ind w:left="284" w:hanging="284"/>
    </w:pPr>
    <w:rPr>
      <w:rFonts w:ascii="Verdana" w:hAnsi="Verdana"/>
      <w:color w:val="5E6A71" w:themeColor="text2"/>
      <w:sz w:val="18"/>
    </w:rPr>
  </w:style>
  <w:style w:type="character" w:customStyle="1" w:styleId="CV-ListBulletChar">
    <w:name w:val="CV-List Bullet Char"/>
    <w:basedOn w:val="DefaultParagraphFont"/>
    <w:link w:val="CV-ListBullet"/>
    <w:uiPriority w:val="20"/>
    <w:rsid w:val="00F41597"/>
    <w:rPr>
      <w:rFonts w:ascii="Verdana" w:hAnsi="Verdana"/>
      <w:color w:val="5E6A71" w:themeColor="text2"/>
      <w:sz w:val="18"/>
    </w:rPr>
  </w:style>
  <w:style w:type="paragraph" w:customStyle="1" w:styleId="CS-DualListBullet">
    <w:name w:val="CS-Dual List Bullet"/>
    <w:link w:val="CS-DualListBulletChar"/>
    <w:uiPriority w:val="19"/>
    <w:qFormat/>
    <w:rsid w:val="00AD0E8D"/>
    <w:pPr>
      <w:numPr>
        <w:numId w:val="6"/>
      </w:numPr>
      <w:spacing w:after="120" w:line="240" w:lineRule="auto"/>
      <w:ind w:left="284" w:hanging="284"/>
    </w:pPr>
    <w:rPr>
      <w:rFonts w:ascii="Verdana" w:hAnsi="Verdana"/>
      <w:color w:val="5E6A71" w:themeColor="text2"/>
      <w:sz w:val="18"/>
    </w:rPr>
  </w:style>
  <w:style w:type="character" w:customStyle="1" w:styleId="CS-DualListBulletChar">
    <w:name w:val="CS-Dual List Bullet Char"/>
    <w:basedOn w:val="DefaultParagraphFont"/>
    <w:link w:val="CS-DualListBullet"/>
    <w:uiPriority w:val="19"/>
    <w:rsid w:val="0091596A"/>
    <w:rPr>
      <w:rFonts w:ascii="Verdana" w:hAnsi="Verdana"/>
      <w:color w:val="5E6A71" w:themeColor="text2"/>
      <w:sz w:val="18"/>
    </w:rPr>
  </w:style>
  <w:style w:type="paragraph" w:customStyle="1" w:styleId="CV-DualListBullet">
    <w:name w:val="CV-Dual List Bullet"/>
    <w:link w:val="CV-DualListBulletChar"/>
    <w:uiPriority w:val="21"/>
    <w:qFormat/>
    <w:rsid w:val="00AD0E8D"/>
    <w:pPr>
      <w:numPr>
        <w:numId w:val="7"/>
      </w:numPr>
      <w:spacing w:after="120" w:line="240" w:lineRule="auto"/>
      <w:ind w:left="284" w:hanging="284"/>
    </w:pPr>
    <w:rPr>
      <w:rFonts w:ascii="Verdana" w:hAnsi="Verdana"/>
      <w:color w:val="5E6A71" w:themeColor="text2"/>
      <w:sz w:val="18"/>
    </w:rPr>
  </w:style>
  <w:style w:type="character" w:customStyle="1" w:styleId="CV-DualListBulletChar">
    <w:name w:val="CV-Dual List Bullet Char"/>
    <w:basedOn w:val="DefaultParagraphFont"/>
    <w:link w:val="CV-DualListBullet"/>
    <w:uiPriority w:val="21"/>
    <w:rsid w:val="0091596A"/>
    <w:rPr>
      <w:rFonts w:ascii="Verdana" w:hAnsi="Verdana"/>
      <w:color w:val="5E6A71" w:themeColor="text2"/>
      <w:sz w:val="18"/>
    </w:rPr>
  </w:style>
  <w:style w:type="paragraph" w:customStyle="1" w:styleId="CS-Heading2-CaseStudy">
    <w:name w:val="CS-Heading 2 - Case Study"/>
    <w:uiPriority w:val="18"/>
    <w:qFormat/>
    <w:rsid w:val="00F41597"/>
    <w:pPr>
      <w:pBdr>
        <w:top w:val="single" w:sz="8" w:space="4" w:color="5E6A71" w:themeColor="text2"/>
      </w:pBdr>
      <w:spacing w:after="120" w:line="240" w:lineRule="auto"/>
    </w:pPr>
    <w:rPr>
      <w:rFonts w:ascii="Verdana" w:eastAsiaTheme="majorEastAsia" w:hAnsi="Verdana" w:cstheme="majorBidi"/>
      <w:b/>
      <w:bCs/>
      <w:color w:val="009FDA" w:themeColor="accent2"/>
      <w:sz w:val="20"/>
      <w:szCs w:val="26"/>
    </w:rPr>
  </w:style>
  <w:style w:type="paragraph" w:customStyle="1" w:styleId="CV-Heading3-CV">
    <w:name w:val="CV-Heading 3 - CV"/>
    <w:link w:val="CV-Heading3-CVChar"/>
    <w:uiPriority w:val="20"/>
    <w:qFormat/>
    <w:rsid w:val="00F41597"/>
    <w:pPr>
      <w:pBdr>
        <w:top w:val="single" w:sz="8" w:space="4" w:color="5E6A71" w:themeColor="text2"/>
      </w:pBdr>
      <w:spacing w:after="120" w:line="240" w:lineRule="auto"/>
    </w:pPr>
    <w:rPr>
      <w:rFonts w:ascii="Verdana" w:eastAsiaTheme="majorEastAsia" w:hAnsi="Verdana" w:cstheme="majorBidi"/>
      <w:b/>
      <w:bCs/>
      <w:color w:val="5E6A71" w:themeColor="text2"/>
      <w:sz w:val="18"/>
    </w:rPr>
  </w:style>
  <w:style w:type="character" w:customStyle="1" w:styleId="CV-Heading3-CVChar">
    <w:name w:val="CV-Heading 3 - CV Char"/>
    <w:basedOn w:val="Heading3Char"/>
    <w:link w:val="CV-Heading3-CV"/>
    <w:uiPriority w:val="20"/>
    <w:rsid w:val="00F41597"/>
    <w:rPr>
      <w:rFonts w:ascii="Verdana" w:eastAsiaTheme="majorEastAsia" w:hAnsi="Verdana" w:cstheme="majorBidi"/>
      <w:b/>
      <w:bCs/>
      <w:color w:val="5E6A71" w:themeColor="text2"/>
      <w:sz w:val="18"/>
    </w:rPr>
  </w:style>
  <w:style w:type="paragraph" w:customStyle="1" w:styleId="CV-CVTitles">
    <w:name w:val="CV-CV Titles"/>
    <w:uiPriority w:val="20"/>
    <w:qFormat/>
    <w:rsid w:val="00F41597"/>
    <w:pPr>
      <w:pBdr>
        <w:top w:val="single" w:sz="8" w:space="4" w:color="5E6A71" w:themeColor="text2"/>
      </w:pBdr>
      <w:spacing w:after="120" w:line="240" w:lineRule="auto"/>
    </w:pPr>
    <w:rPr>
      <w:rFonts w:ascii="Verdana" w:eastAsiaTheme="majorEastAsia" w:hAnsi="Verdana" w:cstheme="majorBidi"/>
      <w:b/>
      <w:color w:val="009FDA" w:themeColor="accent2"/>
      <w:sz w:val="20"/>
    </w:rPr>
  </w:style>
  <w:style w:type="paragraph" w:customStyle="1" w:styleId="CS-DualCSTitles">
    <w:name w:val="CS-Dual CS Titles"/>
    <w:uiPriority w:val="19"/>
    <w:qFormat/>
    <w:rsid w:val="00AD0E8D"/>
    <w:pPr>
      <w:pBdr>
        <w:top w:val="single" w:sz="8" w:space="4" w:color="5E6A71" w:themeColor="text2"/>
      </w:pBdr>
      <w:spacing w:after="60" w:line="240" w:lineRule="auto"/>
    </w:pPr>
    <w:rPr>
      <w:rFonts w:ascii="Verdana" w:eastAsiaTheme="majorEastAsia" w:hAnsi="Verdana" w:cstheme="majorBidi"/>
      <w:b/>
      <w:color w:val="009FDA" w:themeColor="accent2"/>
      <w:sz w:val="18"/>
    </w:rPr>
  </w:style>
  <w:style w:type="paragraph" w:customStyle="1" w:styleId="CS-DualCSValues">
    <w:name w:val="CS-Dual CS Values"/>
    <w:link w:val="CS-DualCSValuesChar"/>
    <w:uiPriority w:val="19"/>
    <w:qFormat/>
    <w:rsid w:val="00F41597"/>
    <w:pPr>
      <w:spacing w:after="120" w:line="240" w:lineRule="atLeast"/>
    </w:pPr>
    <w:rPr>
      <w:rFonts w:ascii="Verdana" w:hAnsi="Verdana"/>
      <w:color w:val="5E6A71" w:themeColor="text2"/>
      <w:sz w:val="18"/>
    </w:rPr>
  </w:style>
  <w:style w:type="character" w:customStyle="1" w:styleId="CS-DualCSValuesChar">
    <w:name w:val="CS-Dual CS Values Char"/>
    <w:basedOn w:val="BodyTextChar"/>
    <w:link w:val="CS-DualCSValues"/>
    <w:uiPriority w:val="19"/>
    <w:rsid w:val="00F41597"/>
    <w:rPr>
      <w:rFonts w:ascii="Verdana" w:hAnsi="Verdana"/>
      <w:color w:val="5E6A71" w:themeColor="text2"/>
      <w:sz w:val="18"/>
    </w:rPr>
  </w:style>
  <w:style w:type="paragraph" w:customStyle="1" w:styleId="CS-DualNormalTiny">
    <w:name w:val="CS-Dual Normal Tiny"/>
    <w:link w:val="CS-DualNormalTinyChar"/>
    <w:uiPriority w:val="19"/>
    <w:qFormat/>
    <w:rsid w:val="00AD0E8D"/>
    <w:pPr>
      <w:spacing w:after="0" w:line="240" w:lineRule="auto"/>
    </w:pPr>
    <w:rPr>
      <w:rFonts w:ascii="Verdana" w:hAnsi="Verdana"/>
      <w:color w:val="5E6A71" w:themeColor="text2"/>
      <w:sz w:val="2"/>
      <w:szCs w:val="2"/>
    </w:rPr>
  </w:style>
  <w:style w:type="character" w:customStyle="1" w:styleId="CS-DualNormalTinyChar">
    <w:name w:val="CS-Dual Normal Tiny Char"/>
    <w:basedOn w:val="DefaultParagraphFont"/>
    <w:link w:val="CS-DualNormalTiny"/>
    <w:uiPriority w:val="19"/>
    <w:rsid w:val="0091596A"/>
    <w:rPr>
      <w:rFonts w:ascii="Verdana" w:hAnsi="Verdana"/>
      <w:color w:val="5E6A71" w:themeColor="text2"/>
      <w:sz w:val="2"/>
      <w:szCs w:val="2"/>
    </w:rPr>
  </w:style>
  <w:style w:type="paragraph" w:customStyle="1" w:styleId="CS-DualHeading1">
    <w:name w:val="CS-Dual Heading 1"/>
    <w:link w:val="CS-DualHeading1Char"/>
    <w:uiPriority w:val="19"/>
    <w:qFormat/>
    <w:rsid w:val="00AD0E8D"/>
    <w:pPr>
      <w:spacing w:before="120" w:after="120" w:line="240" w:lineRule="auto"/>
    </w:pPr>
    <w:rPr>
      <w:rFonts w:ascii="Verdana" w:eastAsiaTheme="majorEastAsia" w:hAnsi="Verdana" w:cstheme="majorBidi"/>
      <w:b/>
      <w:bCs/>
      <w:color w:val="1E4479" w:themeColor="accent1"/>
      <w:szCs w:val="26"/>
    </w:rPr>
  </w:style>
  <w:style w:type="character" w:customStyle="1" w:styleId="CS-DualHeading1Char">
    <w:name w:val="CS-Dual Heading 1 Char"/>
    <w:basedOn w:val="Heading1Char"/>
    <w:link w:val="CS-DualHeading1"/>
    <w:uiPriority w:val="19"/>
    <w:rsid w:val="0091596A"/>
    <w:rPr>
      <w:rFonts w:ascii="Verdana" w:eastAsiaTheme="majorEastAsia" w:hAnsi="Verdana" w:cstheme="majorBidi"/>
      <w:b/>
      <w:bCs/>
      <w:color w:val="1E4479" w:themeColor="accent1"/>
      <w:szCs w:val="26"/>
    </w:rPr>
  </w:style>
  <w:style w:type="paragraph" w:customStyle="1" w:styleId="CS-DualCSName">
    <w:name w:val="CS-Dual CS Name"/>
    <w:link w:val="CS-DualCSNameChar"/>
    <w:uiPriority w:val="19"/>
    <w:qFormat/>
    <w:rsid w:val="00AD0E8D"/>
    <w:pPr>
      <w:spacing w:before="60" w:after="60" w:line="240" w:lineRule="auto"/>
    </w:pPr>
    <w:rPr>
      <w:rFonts w:ascii="Verdana" w:eastAsiaTheme="majorEastAsia" w:hAnsi="Verdana" w:cstheme="majorBidi"/>
      <w:b/>
      <w:bCs/>
      <w:color w:val="5E6A71" w:themeColor="text2"/>
      <w:sz w:val="20"/>
    </w:rPr>
  </w:style>
  <w:style w:type="character" w:customStyle="1" w:styleId="CS-DualCSNameChar">
    <w:name w:val="CS-Dual CS Name Char"/>
    <w:basedOn w:val="DefaultParagraphFont"/>
    <w:link w:val="CS-DualCSName"/>
    <w:uiPriority w:val="19"/>
    <w:rsid w:val="0091596A"/>
    <w:rPr>
      <w:rFonts w:ascii="Verdana" w:eastAsiaTheme="majorEastAsia" w:hAnsi="Verdana" w:cstheme="majorBidi"/>
      <w:b/>
      <w:bCs/>
      <w:color w:val="5E6A71" w:themeColor="text2"/>
      <w:sz w:val="20"/>
    </w:rPr>
  </w:style>
  <w:style w:type="paragraph" w:customStyle="1" w:styleId="CS-DualHeading2">
    <w:name w:val="CS-Dual Heading 2"/>
    <w:link w:val="CS-DualHeading2Char"/>
    <w:uiPriority w:val="19"/>
    <w:qFormat/>
    <w:rsid w:val="00AD0E8D"/>
    <w:pPr>
      <w:spacing w:before="120" w:after="0" w:line="240" w:lineRule="auto"/>
    </w:pPr>
    <w:rPr>
      <w:rFonts w:ascii="Verdana" w:eastAsiaTheme="majorEastAsia" w:hAnsi="Verdana" w:cstheme="majorBidi"/>
      <w:b/>
      <w:bCs/>
      <w:color w:val="009FDA" w:themeColor="accent2"/>
      <w:sz w:val="20"/>
      <w:szCs w:val="26"/>
    </w:rPr>
  </w:style>
  <w:style w:type="character" w:customStyle="1" w:styleId="CS-DualHeading2Char">
    <w:name w:val="CS-Dual Heading 2 Char"/>
    <w:basedOn w:val="Heading2Char"/>
    <w:link w:val="CS-DualHeading2"/>
    <w:uiPriority w:val="19"/>
    <w:rsid w:val="0091596A"/>
    <w:rPr>
      <w:rFonts w:ascii="Verdana" w:eastAsiaTheme="majorEastAsia" w:hAnsi="Verdana" w:cstheme="majorBidi"/>
      <w:b/>
      <w:bCs/>
      <w:color w:val="009FDA" w:themeColor="accent2"/>
      <w:sz w:val="20"/>
      <w:szCs w:val="26"/>
    </w:rPr>
  </w:style>
  <w:style w:type="paragraph" w:customStyle="1" w:styleId="CS-DualBodyText">
    <w:name w:val="CS-Dual Body Text"/>
    <w:link w:val="CS-DualBodyTextChar"/>
    <w:uiPriority w:val="19"/>
    <w:qFormat/>
    <w:rsid w:val="00AD0E8D"/>
    <w:pPr>
      <w:spacing w:after="60" w:line="240" w:lineRule="auto"/>
    </w:pPr>
    <w:rPr>
      <w:rFonts w:ascii="Verdana" w:hAnsi="Verdana"/>
      <w:color w:val="5E6A71" w:themeColor="text2"/>
      <w:spacing w:val="4"/>
      <w:sz w:val="18"/>
    </w:rPr>
  </w:style>
  <w:style w:type="paragraph" w:customStyle="1" w:styleId="CV-DualCVTitles">
    <w:name w:val="CV-Dual CV Titles"/>
    <w:uiPriority w:val="21"/>
    <w:qFormat/>
    <w:rsid w:val="00AD0E8D"/>
    <w:pPr>
      <w:pBdr>
        <w:top w:val="single" w:sz="8" w:space="4" w:color="5E6A71" w:themeColor="text2"/>
      </w:pBdr>
      <w:spacing w:after="60" w:line="240" w:lineRule="auto"/>
    </w:pPr>
    <w:rPr>
      <w:rFonts w:ascii="Verdana" w:eastAsiaTheme="majorEastAsia" w:hAnsi="Verdana" w:cstheme="majorBidi"/>
      <w:b/>
      <w:color w:val="009FDA" w:themeColor="accent2"/>
      <w:sz w:val="18"/>
    </w:rPr>
  </w:style>
  <w:style w:type="character" w:customStyle="1" w:styleId="CS-DualBodyTextChar">
    <w:name w:val="CS-Dual Body Text Char"/>
    <w:basedOn w:val="BodyTextChar"/>
    <w:link w:val="CS-DualBodyText"/>
    <w:uiPriority w:val="19"/>
    <w:rsid w:val="0091596A"/>
    <w:rPr>
      <w:rFonts w:ascii="Verdana" w:hAnsi="Verdana"/>
      <w:color w:val="5E6A71" w:themeColor="text2"/>
      <w:spacing w:val="4"/>
      <w:sz w:val="18"/>
    </w:rPr>
  </w:style>
  <w:style w:type="paragraph" w:customStyle="1" w:styleId="CV-DualBodyText">
    <w:name w:val="CV-Dual Body Text"/>
    <w:link w:val="CV-DualBodyTextChar"/>
    <w:uiPriority w:val="21"/>
    <w:qFormat/>
    <w:rsid w:val="00AD0E8D"/>
    <w:pPr>
      <w:spacing w:after="60" w:line="240" w:lineRule="auto"/>
    </w:pPr>
    <w:rPr>
      <w:rFonts w:ascii="Verdana" w:hAnsi="Verdana"/>
      <w:color w:val="5E6A71" w:themeColor="text2"/>
      <w:spacing w:val="4"/>
      <w:sz w:val="18"/>
    </w:rPr>
  </w:style>
  <w:style w:type="paragraph" w:customStyle="1" w:styleId="CV-DualNormalTiny">
    <w:name w:val="CV-Dual Normal Tiny"/>
    <w:link w:val="CV-DualNormalTinyChar"/>
    <w:uiPriority w:val="21"/>
    <w:qFormat/>
    <w:rsid w:val="00AD0E8D"/>
    <w:pPr>
      <w:spacing w:after="0" w:line="240" w:lineRule="auto"/>
    </w:pPr>
    <w:rPr>
      <w:rFonts w:ascii="Verdana" w:hAnsi="Verdana"/>
      <w:color w:val="5E6A71" w:themeColor="text2"/>
      <w:spacing w:val="4"/>
      <w:sz w:val="2"/>
      <w:szCs w:val="2"/>
    </w:rPr>
  </w:style>
  <w:style w:type="character" w:customStyle="1" w:styleId="CV-DualBodyTextChar">
    <w:name w:val="CV-Dual Body Text Char"/>
    <w:basedOn w:val="BodyTextChar"/>
    <w:link w:val="CV-DualBodyText"/>
    <w:uiPriority w:val="21"/>
    <w:rsid w:val="0091596A"/>
    <w:rPr>
      <w:rFonts w:ascii="Verdana" w:hAnsi="Verdana"/>
      <w:color w:val="5E6A71" w:themeColor="text2"/>
      <w:spacing w:val="4"/>
      <w:sz w:val="18"/>
    </w:rPr>
  </w:style>
  <w:style w:type="paragraph" w:customStyle="1" w:styleId="CV-DualCVName">
    <w:name w:val="CV-Dual CV Name"/>
    <w:link w:val="CV-DualCVNameChar"/>
    <w:uiPriority w:val="21"/>
    <w:qFormat/>
    <w:rsid w:val="00AD0E8D"/>
    <w:pPr>
      <w:spacing w:before="60" w:after="60" w:line="240" w:lineRule="auto"/>
    </w:pPr>
    <w:rPr>
      <w:rFonts w:ascii="Verdana" w:eastAsiaTheme="majorEastAsia" w:hAnsi="Verdana" w:cstheme="majorBidi"/>
      <w:b/>
      <w:bCs/>
      <w:color w:val="5E6A71" w:themeColor="text2"/>
      <w:sz w:val="20"/>
    </w:rPr>
  </w:style>
  <w:style w:type="character" w:customStyle="1" w:styleId="CV-DualCVNameChar">
    <w:name w:val="CV-Dual CV Name Char"/>
    <w:basedOn w:val="DefaultParagraphFont"/>
    <w:link w:val="CV-DualCVName"/>
    <w:uiPriority w:val="21"/>
    <w:rsid w:val="0091596A"/>
    <w:rPr>
      <w:rFonts w:ascii="Verdana" w:eastAsiaTheme="majorEastAsia" w:hAnsi="Verdana" w:cstheme="majorBidi"/>
      <w:b/>
      <w:bCs/>
      <w:color w:val="5E6A71" w:themeColor="text2"/>
      <w:sz w:val="20"/>
    </w:rPr>
  </w:style>
  <w:style w:type="character" w:customStyle="1" w:styleId="CV-DualNormalTinyChar">
    <w:name w:val="CV-Dual Normal Tiny Char"/>
    <w:basedOn w:val="DefaultParagraphFont"/>
    <w:link w:val="CV-DualNormalTiny"/>
    <w:uiPriority w:val="21"/>
    <w:rsid w:val="0091596A"/>
    <w:rPr>
      <w:rFonts w:ascii="Verdana" w:hAnsi="Verdana"/>
      <w:color w:val="5E6A71" w:themeColor="text2"/>
      <w:spacing w:val="4"/>
      <w:sz w:val="2"/>
      <w:szCs w:val="2"/>
    </w:rPr>
  </w:style>
  <w:style w:type="paragraph" w:customStyle="1" w:styleId="CV-DualHeading1">
    <w:name w:val="CV-Dual Heading 1"/>
    <w:link w:val="CV-DualHeading1Char"/>
    <w:uiPriority w:val="21"/>
    <w:qFormat/>
    <w:rsid w:val="00AD0E8D"/>
    <w:pPr>
      <w:spacing w:before="120" w:after="120" w:line="240" w:lineRule="auto"/>
    </w:pPr>
    <w:rPr>
      <w:rFonts w:ascii="Verdana" w:eastAsiaTheme="majorEastAsia" w:hAnsi="Verdana" w:cstheme="majorBidi"/>
      <w:b/>
      <w:bCs/>
      <w:color w:val="1E4479" w:themeColor="accent1"/>
      <w:szCs w:val="26"/>
    </w:rPr>
  </w:style>
  <w:style w:type="character" w:customStyle="1" w:styleId="CV-DualHeading1Char">
    <w:name w:val="CV-Dual Heading 1 Char"/>
    <w:basedOn w:val="Heading1Char"/>
    <w:link w:val="CV-DualHeading1"/>
    <w:uiPriority w:val="21"/>
    <w:rsid w:val="0091596A"/>
    <w:rPr>
      <w:rFonts w:ascii="Verdana" w:eastAsiaTheme="majorEastAsia" w:hAnsi="Verdana" w:cstheme="majorBidi"/>
      <w:b/>
      <w:bCs/>
      <w:color w:val="1E4479" w:themeColor="accent1"/>
      <w:szCs w:val="26"/>
    </w:rPr>
  </w:style>
  <w:style w:type="paragraph" w:customStyle="1" w:styleId="CV-DualHeading2">
    <w:name w:val="CV-Dual Heading 2"/>
    <w:link w:val="CV-DualHeading2Char"/>
    <w:uiPriority w:val="21"/>
    <w:qFormat/>
    <w:rsid w:val="00AD0E8D"/>
    <w:pPr>
      <w:spacing w:before="120" w:after="0" w:line="240" w:lineRule="auto"/>
    </w:pPr>
    <w:rPr>
      <w:rFonts w:ascii="Verdana" w:eastAsiaTheme="majorEastAsia" w:hAnsi="Verdana" w:cstheme="majorBidi"/>
      <w:b/>
      <w:bCs/>
      <w:color w:val="009FDA" w:themeColor="accent2"/>
      <w:sz w:val="20"/>
      <w:szCs w:val="26"/>
    </w:rPr>
  </w:style>
  <w:style w:type="character" w:customStyle="1" w:styleId="CV-DualHeading2Char">
    <w:name w:val="CV-Dual Heading 2 Char"/>
    <w:basedOn w:val="Heading2Char"/>
    <w:link w:val="CV-DualHeading2"/>
    <w:uiPriority w:val="21"/>
    <w:rsid w:val="0091596A"/>
    <w:rPr>
      <w:rFonts w:ascii="Verdana" w:eastAsiaTheme="majorEastAsia" w:hAnsi="Verdana" w:cstheme="majorBidi"/>
      <w:b/>
      <w:bCs/>
      <w:color w:val="009FDA" w:themeColor="accent2"/>
      <w:sz w:val="20"/>
      <w:szCs w:val="26"/>
    </w:rPr>
  </w:style>
  <w:style w:type="paragraph" w:customStyle="1" w:styleId="CV-Heading1">
    <w:name w:val="CV-Heading 1"/>
    <w:link w:val="CV-Heading1Char"/>
    <w:uiPriority w:val="20"/>
    <w:qFormat/>
    <w:rsid w:val="00A419EC"/>
    <w:pPr>
      <w:spacing w:after="120" w:line="240" w:lineRule="auto"/>
    </w:pPr>
    <w:rPr>
      <w:rFonts w:ascii="Verdana" w:hAnsi="Verdana"/>
      <w:b/>
      <w:color w:val="1E4479" w:themeColor="accent1"/>
    </w:rPr>
  </w:style>
  <w:style w:type="character" w:customStyle="1" w:styleId="CV-Heading1Char">
    <w:name w:val="CV-Heading 1 Char"/>
    <w:basedOn w:val="DefaultParagraphFont"/>
    <w:link w:val="CV-Heading1"/>
    <w:uiPriority w:val="20"/>
    <w:rsid w:val="0091596A"/>
    <w:rPr>
      <w:rFonts w:ascii="Verdana" w:hAnsi="Verdana"/>
      <w:b/>
      <w:color w:val="1E4479" w:themeColor="accent1"/>
    </w:rPr>
  </w:style>
  <w:style w:type="paragraph" w:customStyle="1" w:styleId="CV-Heading2">
    <w:name w:val="CV-Heading 2"/>
    <w:link w:val="CV-Heading2Char"/>
    <w:uiPriority w:val="20"/>
    <w:qFormat/>
    <w:rsid w:val="000C7A3D"/>
    <w:pPr>
      <w:spacing w:after="120" w:line="240" w:lineRule="auto"/>
    </w:pPr>
    <w:rPr>
      <w:rFonts w:ascii="Verdana" w:hAnsi="Verdana"/>
      <w:b/>
      <w:color w:val="009FDA" w:themeColor="accent2"/>
      <w:sz w:val="20"/>
    </w:rPr>
  </w:style>
  <w:style w:type="paragraph" w:customStyle="1" w:styleId="CS-Heading1">
    <w:name w:val="CS-Heading 1"/>
    <w:link w:val="CS-Heading1Char"/>
    <w:uiPriority w:val="18"/>
    <w:qFormat/>
    <w:rsid w:val="000C7A3D"/>
    <w:pPr>
      <w:spacing w:after="120" w:line="240" w:lineRule="auto"/>
    </w:pPr>
    <w:rPr>
      <w:rFonts w:ascii="Verdana" w:hAnsi="Verdana"/>
      <w:b/>
      <w:color w:val="1E4479" w:themeColor="accent1"/>
    </w:rPr>
  </w:style>
  <w:style w:type="character" w:customStyle="1" w:styleId="CV-Heading2Char">
    <w:name w:val="CV-Heading 2 Char"/>
    <w:basedOn w:val="BodyTextChar"/>
    <w:link w:val="CV-Heading2"/>
    <w:uiPriority w:val="20"/>
    <w:rsid w:val="0091596A"/>
    <w:rPr>
      <w:rFonts w:ascii="Verdana" w:hAnsi="Verdana"/>
      <w:b/>
      <w:color w:val="009FDA" w:themeColor="accent2"/>
      <w:sz w:val="20"/>
    </w:rPr>
  </w:style>
  <w:style w:type="paragraph" w:customStyle="1" w:styleId="CV-Heading4">
    <w:name w:val="CV-Heading 4"/>
    <w:link w:val="CV-Heading4Char"/>
    <w:uiPriority w:val="20"/>
    <w:qFormat/>
    <w:rsid w:val="000C7A3D"/>
    <w:pPr>
      <w:spacing w:after="120" w:line="240" w:lineRule="auto"/>
    </w:pPr>
    <w:rPr>
      <w:rFonts w:ascii="Verdana" w:hAnsi="Verdana"/>
      <w:i/>
      <w:color w:val="5E6A71" w:themeColor="text2"/>
      <w:sz w:val="18"/>
    </w:rPr>
  </w:style>
  <w:style w:type="character" w:customStyle="1" w:styleId="CS-Heading1Char">
    <w:name w:val="CS-Heading 1 Char"/>
    <w:basedOn w:val="DefaultParagraphFont"/>
    <w:link w:val="CS-Heading1"/>
    <w:uiPriority w:val="18"/>
    <w:rsid w:val="0091596A"/>
    <w:rPr>
      <w:rFonts w:ascii="Verdana" w:hAnsi="Verdana"/>
      <w:b/>
      <w:color w:val="1E4479" w:themeColor="accent1"/>
    </w:rPr>
  </w:style>
  <w:style w:type="paragraph" w:customStyle="1" w:styleId="CS-Heading4">
    <w:name w:val="CS-Heading 4"/>
    <w:link w:val="CS-Heading4Char"/>
    <w:uiPriority w:val="18"/>
    <w:qFormat/>
    <w:rsid w:val="000C7A3D"/>
    <w:pPr>
      <w:spacing w:after="120" w:line="240" w:lineRule="auto"/>
    </w:pPr>
    <w:rPr>
      <w:rFonts w:ascii="Verdana" w:hAnsi="Verdana"/>
      <w:i/>
      <w:color w:val="5E6A71" w:themeColor="text2"/>
      <w:sz w:val="18"/>
    </w:rPr>
  </w:style>
  <w:style w:type="character" w:customStyle="1" w:styleId="CV-Heading4Char">
    <w:name w:val="CV-Heading 4 Char"/>
    <w:basedOn w:val="DefaultParagraphFont"/>
    <w:link w:val="CV-Heading4"/>
    <w:uiPriority w:val="20"/>
    <w:rsid w:val="0091596A"/>
    <w:rPr>
      <w:rFonts w:ascii="Verdana" w:hAnsi="Verdana"/>
      <w:i/>
      <w:color w:val="5E6A71" w:themeColor="text2"/>
      <w:sz w:val="18"/>
    </w:rPr>
  </w:style>
  <w:style w:type="character" w:customStyle="1" w:styleId="CS-Heading4Char">
    <w:name w:val="CS-Heading 4 Char"/>
    <w:basedOn w:val="DefaultParagraphFont"/>
    <w:link w:val="CS-Heading4"/>
    <w:uiPriority w:val="18"/>
    <w:rsid w:val="0091596A"/>
    <w:rPr>
      <w:rFonts w:ascii="Verdana" w:hAnsi="Verdana"/>
      <w:i/>
      <w:color w:val="5E6A71" w:themeColor="text2"/>
      <w:sz w:val="18"/>
    </w:rPr>
  </w:style>
  <w:style w:type="paragraph" w:customStyle="1" w:styleId="CS-BodyText">
    <w:name w:val="CS-Body Text"/>
    <w:link w:val="CS-BodyTextChar"/>
    <w:uiPriority w:val="18"/>
    <w:qFormat/>
    <w:rsid w:val="0091596A"/>
    <w:pPr>
      <w:spacing w:after="240" w:line="240" w:lineRule="atLeast"/>
    </w:pPr>
    <w:rPr>
      <w:rFonts w:ascii="Verdana" w:hAnsi="Verdana"/>
      <w:color w:val="5E6A71" w:themeColor="text2"/>
      <w:sz w:val="18"/>
    </w:rPr>
  </w:style>
  <w:style w:type="paragraph" w:customStyle="1" w:styleId="CV-BodyText">
    <w:name w:val="CV-Body Text"/>
    <w:link w:val="CV-BodyTextChar"/>
    <w:uiPriority w:val="20"/>
    <w:qFormat/>
    <w:rsid w:val="0091596A"/>
    <w:pPr>
      <w:spacing w:after="240" w:line="240" w:lineRule="atLeast"/>
    </w:pPr>
    <w:rPr>
      <w:rFonts w:ascii="Verdana" w:hAnsi="Verdana"/>
      <w:color w:val="5E6A71" w:themeColor="text2"/>
      <w:sz w:val="18"/>
    </w:rPr>
  </w:style>
  <w:style w:type="character" w:customStyle="1" w:styleId="CS-BodyTextChar">
    <w:name w:val="CS-Body Text Char"/>
    <w:basedOn w:val="DefaultParagraphFont"/>
    <w:link w:val="CS-BodyText"/>
    <w:uiPriority w:val="18"/>
    <w:rsid w:val="0091596A"/>
    <w:rPr>
      <w:rFonts w:ascii="Verdana" w:hAnsi="Verdana"/>
      <w:color w:val="5E6A71" w:themeColor="text2"/>
      <w:sz w:val="18"/>
    </w:rPr>
  </w:style>
  <w:style w:type="paragraph" w:customStyle="1" w:styleId="CS-Heading3">
    <w:name w:val="CS-Heading 3"/>
    <w:link w:val="CS-Heading3Char"/>
    <w:uiPriority w:val="18"/>
    <w:qFormat/>
    <w:rsid w:val="0091596A"/>
    <w:pPr>
      <w:spacing w:after="120" w:line="240" w:lineRule="auto"/>
    </w:pPr>
    <w:rPr>
      <w:rFonts w:ascii="Verdana" w:hAnsi="Verdana"/>
      <w:color w:val="5E6A71" w:themeColor="text2"/>
      <w:sz w:val="18"/>
    </w:rPr>
  </w:style>
  <w:style w:type="character" w:customStyle="1" w:styleId="CV-BodyTextChar">
    <w:name w:val="CV-Body Text Char"/>
    <w:basedOn w:val="DefaultParagraphFont"/>
    <w:link w:val="CV-BodyText"/>
    <w:uiPriority w:val="20"/>
    <w:rsid w:val="0091596A"/>
    <w:rPr>
      <w:rFonts w:ascii="Verdana" w:hAnsi="Verdana"/>
      <w:color w:val="5E6A71" w:themeColor="text2"/>
      <w:sz w:val="18"/>
    </w:rPr>
  </w:style>
  <w:style w:type="character" w:customStyle="1" w:styleId="CS-Heading3Char">
    <w:name w:val="CS-Heading 3 Char"/>
    <w:basedOn w:val="DefaultParagraphFont"/>
    <w:link w:val="CS-Heading3"/>
    <w:uiPriority w:val="18"/>
    <w:rsid w:val="0091596A"/>
    <w:rPr>
      <w:rFonts w:ascii="Verdana" w:hAnsi="Verdana"/>
      <w:color w:val="5E6A71" w:themeColor="text2"/>
      <w:sz w:val="18"/>
    </w:rPr>
  </w:style>
  <w:style w:type="paragraph" w:customStyle="1" w:styleId="CS-Quote">
    <w:name w:val="CS-Quote"/>
    <w:link w:val="CS-QuoteChar"/>
    <w:uiPriority w:val="18"/>
    <w:qFormat/>
    <w:rsid w:val="0091068B"/>
    <w:pPr>
      <w:pBdr>
        <w:top w:val="single" w:sz="18" w:space="8" w:color="009FDA" w:themeColor="accent2"/>
        <w:bottom w:val="single" w:sz="18" w:space="8" w:color="009FDA" w:themeColor="accent2"/>
      </w:pBdr>
      <w:spacing w:before="360" w:after="360" w:line="240" w:lineRule="auto"/>
      <w:contextualSpacing/>
    </w:pPr>
    <w:rPr>
      <w:rFonts w:ascii="Verdana" w:hAnsi="Verdana"/>
      <w:i/>
      <w:color w:val="009FDA" w:themeColor="accent2"/>
      <w:sz w:val="24"/>
    </w:rPr>
  </w:style>
  <w:style w:type="paragraph" w:customStyle="1" w:styleId="CV-Quote">
    <w:name w:val="CV-Quote"/>
    <w:link w:val="CV-QuoteChar"/>
    <w:uiPriority w:val="20"/>
    <w:qFormat/>
    <w:rsid w:val="0091068B"/>
    <w:pPr>
      <w:pBdr>
        <w:top w:val="single" w:sz="18" w:space="8" w:color="009FDA" w:themeColor="accent2"/>
        <w:bottom w:val="single" w:sz="18" w:space="8" w:color="009FDA" w:themeColor="accent2"/>
      </w:pBdr>
      <w:spacing w:before="360" w:after="360" w:line="240" w:lineRule="auto"/>
      <w:contextualSpacing/>
    </w:pPr>
    <w:rPr>
      <w:rFonts w:ascii="Verdana" w:hAnsi="Verdana"/>
      <w:i/>
      <w:color w:val="009FDA" w:themeColor="accent2"/>
      <w:sz w:val="24"/>
    </w:rPr>
  </w:style>
  <w:style w:type="character" w:customStyle="1" w:styleId="CS-QuoteChar">
    <w:name w:val="CS-Quote Char"/>
    <w:basedOn w:val="DefaultParagraphFont"/>
    <w:link w:val="CS-Quote"/>
    <w:uiPriority w:val="18"/>
    <w:rsid w:val="0091068B"/>
    <w:rPr>
      <w:rFonts w:ascii="Verdana" w:hAnsi="Verdana"/>
      <w:i/>
      <w:color w:val="009FDA" w:themeColor="accent2"/>
      <w:sz w:val="24"/>
    </w:rPr>
  </w:style>
  <w:style w:type="character" w:customStyle="1" w:styleId="CV-QuoteChar">
    <w:name w:val="CV-Quote Char"/>
    <w:basedOn w:val="DefaultParagraphFont"/>
    <w:link w:val="CV-Quote"/>
    <w:uiPriority w:val="20"/>
    <w:rsid w:val="0091068B"/>
    <w:rPr>
      <w:rFonts w:ascii="Verdana" w:hAnsi="Verdana"/>
      <w:i/>
      <w:color w:val="009FDA" w:themeColor="accent2"/>
      <w:sz w:val="24"/>
    </w:rPr>
  </w:style>
  <w:style w:type="paragraph" w:customStyle="1" w:styleId="CS-ClientName">
    <w:name w:val="CS-Client Name"/>
    <w:link w:val="CS-ClientNameChar"/>
    <w:uiPriority w:val="18"/>
    <w:qFormat/>
    <w:rsid w:val="00950B33"/>
    <w:pPr>
      <w:spacing w:after="240" w:line="240" w:lineRule="atLeast"/>
    </w:pPr>
    <w:rPr>
      <w:rFonts w:ascii="Verdana" w:hAnsi="Verdana"/>
      <w:color w:val="5E6A71" w:themeColor="text2"/>
      <w:sz w:val="18"/>
    </w:rPr>
  </w:style>
  <w:style w:type="character" w:customStyle="1" w:styleId="CS-ClientNameChar">
    <w:name w:val="CS-Client Name Char"/>
    <w:basedOn w:val="DefaultParagraphFont"/>
    <w:link w:val="CS-ClientName"/>
    <w:uiPriority w:val="18"/>
    <w:rsid w:val="00950B33"/>
    <w:rPr>
      <w:rFonts w:ascii="Verdana" w:hAnsi="Verdana"/>
      <w:color w:val="5E6A71" w:themeColor="text2"/>
      <w:sz w:val="18"/>
    </w:rPr>
  </w:style>
  <w:style w:type="paragraph" w:customStyle="1" w:styleId="ilist">
    <w:name w:val="i list"/>
    <w:basedOn w:val="Normal"/>
    <w:uiPriority w:val="7"/>
    <w:qFormat/>
    <w:rsid w:val="00D7412E"/>
    <w:pPr>
      <w:numPr>
        <w:numId w:val="8"/>
      </w:numPr>
      <w:spacing w:after="120" w:line="240" w:lineRule="atLeast"/>
    </w:pPr>
  </w:style>
  <w:style w:type="paragraph" w:customStyle="1" w:styleId="ilist2">
    <w:name w:val="i list 2"/>
    <w:basedOn w:val="Normal"/>
    <w:uiPriority w:val="7"/>
    <w:qFormat/>
    <w:rsid w:val="00D7412E"/>
    <w:pPr>
      <w:numPr>
        <w:ilvl w:val="1"/>
        <w:numId w:val="8"/>
      </w:numPr>
      <w:tabs>
        <w:tab w:val="left" w:pos="567"/>
      </w:tabs>
      <w:spacing w:after="120" w:line="240" w:lineRule="atLeast"/>
    </w:pPr>
  </w:style>
  <w:style w:type="paragraph" w:customStyle="1" w:styleId="ilist3">
    <w:name w:val="i list 3"/>
    <w:basedOn w:val="Normal"/>
    <w:uiPriority w:val="7"/>
    <w:qFormat/>
    <w:rsid w:val="00D7412E"/>
    <w:pPr>
      <w:numPr>
        <w:ilvl w:val="2"/>
        <w:numId w:val="8"/>
      </w:numPr>
      <w:tabs>
        <w:tab w:val="left" w:pos="851"/>
      </w:tabs>
      <w:spacing w:after="120" w:line="240" w:lineRule="atLeast"/>
    </w:pPr>
  </w:style>
  <w:style w:type="paragraph" w:customStyle="1" w:styleId="ilist4">
    <w:name w:val="i list 4"/>
    <w:basedOn w:val="Normal"/>
    <w:uiPriority w:val="7"/>
    <w:qFormat/>
    <w:rsid w:val="00D7412E"/>
    <w:pPr>
      <w:numPr>
        <w:ilvl w:val="3"/>
        <w:numId w:val="8"/>
      </w:numPr>
      <w:tabs>
        <w:tab w:val="left" w:pos="1134"/>
      </w:tabs>
      <w:spacing w:after="120" w:line="240" w:lineRule="atLeast"/>
    </w:pPr>
  </w:style>
  <w:style w:type="character" w:styleId="CommentReference">
    <w:name w:val="annotation reference"/>
    <w:basedOn w:val="DefaultParagraphFont"/>
    <w:uiPriority w:val="99"/>
    <w:semiHidden/>
    <w:unhideWhenUsed/>
    <w:rsid w:val="00771253"/>
    <w:rPr>
      <w:sz w:val="16"/>
      <w:szCs w:val="16"/>
    </w:rPr>
  </w:style>
  <w:style w:type="paragraph" w:styleId="CommentText">
    <w:name w:val="annotation text"/>
    <w:basedOn w:val="Normal"/>
    <w:link w:val="CommentTextChar"/>
    <w:uiPriority w:val="99"/>
    <w:unhideWhenUsed/>
    <w:rsid w:val="00771253"/>
    <w:pPr>
      <w:spacing w:after="160"/>
    </w:pPr>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rsid w:val="00771253"/>
    <w:rPr>
      <w:sz w:val="20"/>
      <w:szCs w:val="20"/>
      <w:lang w:val="en-US"/>
    </w:rPr>
  </w:style>
  <w:style w:type="paragraph" w:styleId="CommentSubject">
    <w:name w:val="annotation subject"/>
    <w:basedOn w:val="CommentText"/>
    <w:next w:val="CommentText"/>
    <w:link w:val="CommentSubjectChar"/>
    <w:uiPriority w:val="99"/>
    <w:semiHidden/>
    <w:unhideWhenUsed/>
    <w:rsid w:val="00A54045"/>
    <w:pPr>
      <w:spacing w:after="240"/>
    </w:pPr>
    <w:rPr>
      <w:rFonts w:ascii="Verdana" w:hAnsi="Verdana"/>
      <w:b/>
      <w:bCs/>
      <w:color w:val="5E6A71" w:themeColor="text2"/>
      <w:lang w:val="en-GB"/>
    </w:rPr>
  </w:style>
  <w:style w:type="character" w:customStyle="1" w:styleId="CommentSubjectChar">
    <w:name w:val="Comment Subject Char"/>
    <w:basedOn w:val="CommentTextChar"/>
    <w:link w:val="CommentSubject"/>
    <w:uiPriority w:val="99"/>
    <w:semiHidden/>
    <w:rsid w:val="00A54045"/>
    <w:rPr>
      <w:rFonts w:ascii="Verdana" w:hAnsi="Verdana"/>
      <w:b/>
      <w:bCs/>
      <w:color w:val="5E6A71" w:themeColor="text2"/>
      <w:sz w:val="20"/>
      <w:szCs w:val="20"/>
      <w:lang w:val="en-US"/>
    </w:rPr>
  </w:style>
  <w:style w:type="character" w:styleId="Mention">
    <w:name w:val="Mention"/>
    <w:basedOn w:val="DefaultParagraphFont"/>
    <w:uiPriority w:val="99"/>
    <w:unhideWhenUsed/>
    <w:rsid w:val="0042015A"/>
    <w:rPr>
      <w:color w:val="2B579A"/>
      <w:shd w:val="clear" w:color="auto" w:fill="E1DFDD"/>
    </w:rPr>
  </w:style>
  <w:style w:type="paragraph" w:styleId="Revision">
    <w:name w:val="Revision"/>
    <w:hidden/>
    <w:uiPriority w:val="99"/>
    <w:semiHidden/>
    <w:rsid w:val="003D015F"/>
    <w:pPr>
      <w:spacing w:after="0" w:line="240" w:lineRule="auto"/>
    </w:pPr>
    <w:rPr>
      <w:rFonts w:ascii="Verdana" w:hAnsi="Verdana"/>
      <w:color w:val="5E6A71" w:themeColor="text2"/>
      <w:sz w:val="18"/>
    </w:rPr>
  </w:style>
  <w:style w:type="paragraph" w:styleId="FootnoteText">
    <w:name w:val="footnote text"/>
    <w:basedOn w:val="Normal"/>
    <w:link w:val="FootnoteTextChar"/>
    <w:uiPriority w:val="99"/>
    <w:semiHidden/>
    <w:unhideWhenUsed/>
    <w:rsid w:val="00007E89"/>
    <w:pPr>
      <w:spacing w:after="0"/>
    </w:pPr>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007E89"/>
    <w:rPr>
      <w:sz w:val="20"/>
      <w:szCs w:val="20"/>
    </w:rPr>
  </w:style>
  <w:style w:type="character" w:styleId="FootnoteReference">
    <w:name w:val="footnote reference"/>
    <w:basedOn w:val="DefaultParagraphFont"/>
    <w:uiPriority w:val="99"/>
    <w:unhideWhenUsed/>
    <w:rsid w:val="00007E89"/>
    <w:rPr>
      <w:vertAlign w:val="superscript"/>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
    <w:basedOn w:val="DefaultParagraphFont"/>
    <w:link w:val="ListParagraph"/>
    <w:uiPriority w:val="34"/>
    <w:qFormat/>
    <w:rsid w:val="00007E89"/>
    <w:rPr>
      <w:rFonts w:ascii="Verdana" w:hAnsi="Verdana"/>
      <w:color w:val="5E6A71" w:themeColor="text2"/>
      <w:sz w:val="18"/>
    </w:rPr>
  </w:style>
  <w:style w:type="table" w:styleId="GridTable4-Accent1">
    <w:name w:val="Grid Table 4 Accent 1"/>
    <w:basedOn w:val="TableNormal"/>
    <w:uiPriority w:val="49"/>
    <w:rsid w:val="00E02553"/>
    <w:pPr>
      <w:spacing w:after="0" w:line="240" w:lineRule="auto"/>
    </w:pPr>
    <w:tblPr>
      <w:tblStyleRowBandSize w:val="1"/>
      <w:tblStyleColBandSize w:val="1"/>
      <w:tblBorders>
        <w:top w:val="single" w:sz="4" w:space="0" w:color="5288D4" w:themeColor="accent1" w:themeTint="99"/>
        <w:left w:val="single" w:sz="4" w:space="0" w:color="5288D4" w:themeColor="accent1" w:themeTint="99"/>
        <w:bottom w:val="single" w:sz="4" w:space="0" w:color="5288D4" w:themeColor="accent1" w:themeTint="99"/>
        <w:right w:val="single" w:sz="4" w:space="0" w:color="5288D4" w:themeColor="accent1" w:themeTint="99"/>
        <w:insideH w:val="single" w:sz="4" w:space="0" w:color="5288D4" w:themeColor="accent1" w:themeTint="99"/>
        <w:insideV w:val="single" w:sz="4" w:space="0" w:color="5288D4" w:themeColor="accent1" w:themeTint="99"/>
      </w:tblBorders>
    </w:tblPr>
    <w:tblStylePr w:type="firstRow">
      <w:rPr>
        <w:b/>
        <w:bCs/>
        <w:color w:val="FFFFFF" w:themeColor="background1"/>
      </w:rPr>
      <w:tblPr/>
      <w:tcPr>
        <w:tcBorders>
          <w:top w:val="single" w:sz="4" w:space="0" w:color="1E4479" w:themeColor="accent1"/>
          <w:left w:val="single" w:sz="4" w:space="0" w:color="1E4479" w:themeColor="accent1"/>
          <w:bottom w:val="single" w:sz="4" w:space="0" w:color="1E4479" w:themeColor="accent1"/>
          <w:right w:val="single" w:sz="4" w:space="0" w:color="1E4479" w:themeColor="accent1"/>
          <w:insideH w:val="nil"/>
          <w:insideV w:val="nil"/>
        </w:tcBorders>
        <w:shd w:val="clear" w:color="auto" w:fill="1E4479" w:themeFill="accent1"/>
      </w:tcPr>
    </w:tblStylePr>
    <w:tblStylePr w:type="lastRow">
      <w:rPr>
        <w:b/>
        <w:bCs/>
      </w:rPr>
      <w:tblPr/>
      <w:tcPr>
        <w:tcBorders>
          <w:top w:val="double" w:sz="4" w:space="0" w:color="1E4479" w:themeColor="accent1"/>
        </w:tcBorders>
      </w:tcPr>
    </w:tblStylePr>
    <w:tblStylePr w:type="firstCol">
      <w:rPr>
        <w:b/>
        <w:bCs/>
      </w:rPr>
    </w:tblStylePr>
    <w:tblStylePr w:type="lastCol">
      <w:rPr>
        <w:b/>
        <w:bCs/>
      </w:rPr>
    </w:tblStylePr>
    <w:tblStylePr w:type="band1Vert">
      <w:tblPr/>
      <w:tcPr>
        <w:shd w:val="clear" w:color="auto" w:fill="C5D7F0" w:themeFill="accent1" w:themeFillTint="33"/>
      </w:tcPr>
    </w:tblStylePr>
    <w:tblStylePr w:type="band1Horz">
      <w:tblPr/>
      <w:tcPr>
        <w:shd w:val="clear" w:color="auto" w:fill="C5D7F0" w:themeFill="accent1" w:themeFillTint="33"/>
      </w:tcPr>
    </w:tblStylePr>
  </w:style>
  <w:style w:type="table" w:customStyle="1" w:styleId="TurnTown">
    <w:name w:val="TurnTown"/>
    <w:basedOn w:val="TableNormal"/>
    <w:uiPriority w:val="99"/>
    <w:rsid w:val="00E02553"/>
    <w:pPr>
      <w:spacing w:after="0" w:line="240" w:lineRule="auto"/>
    </w:pPr>
    <w:rPr>
      <w:rFonts w:ascii="Verdana" w:eastAsia="Times New Roman" w:hAnsi="Verdana" w:cs="Times New Roman"/>
      <w:color w:val="5E6A71" w:themeColor="text2"/>
      <w:szCs w:val="20"/>
      <w:lang w:eastAsia="en-GB"/>
    </w:rPr>
    <w:tblPr>
      <w:tblStyleRowBandSize w:val="1"/>
      <w:tblBorders>
        <w:top w:val="single" w:sz="4" w:space="0" w:color="9EA6AA" w:themeColor="accent4"/>
        <w:left w:val="single" w:sz="4" w:space="0" w:color="9EA6AA" w:themeColor="accent4"/>
        <w:bottom w:val="single" w:sz="4" w:space="0" w:color="9EA6AA" w:themeColor="accent4"/>
        <w:right w:val="single" w:sz="4" w:space="0" w:color="9EA6AA" w:themeColor="accent4"/>
        <w:insideH w:val="single" w:sz="4" w:space="0" w:color="9EA6AA" w:themeColor="accent4"/>
        <w:insideV w:val="single" w:sz="4" w:space="0" w:color="9EA6AA" w:themeColor="accent4"/>
      </w:tblBorders>
      <w:tblCellMar>
        <w:top w:w="113" w:type="dxa"/>
        <w:bottom w:w="113" w:type="dxa"/>
      </w:tblCellMar>
    </w:tblPr>
    <w:tblStylePr w:type="firstRow">
      <w:rPr>
        <w:b w:val="0"/>
      </w:rPr>
      <w:tblPr/>
      <w:tcPr>
        <w:tcBorders>
          <w:top w:val="single" w:sz="4" w:space="0" w:color="9EA6AA" w:themeColor="accent4"/>
          <w:left w:val="single" w:sz="4" w:space="0" w:color="9EA6AA" w:themeColor="accent4"/>
          <w:bottom w:val="single" w:sz="4" w:space="0" w:color="9EA6AA" w:themeColor="accent4"/>
          <w:right w:val="single" w:sz="4" w:space="0" w:color="9EA6AA" w:themeColor="accent4"/>
          <w:insideH w:val="single" w:sz="4" w:space="0" w:color="9EA6AA" w:themeColor="accent4"/>
          <w:insideV w:val="single" w:sz="4" w:space="0" w:color="9EA6AA" w:themeColor="accent4"/>
          <w:tl2br w:val="nil"/>
          <w:tr2bl w:val="nil"/>
        </w:tcBorders>
        <w:shd w:val="clear" w:color="auto" w:fill="1E4479" w:themeFill="accent1"/>
      </w:tcPr>
    </w:tblStylePr>
    <w:tblStylePr w:type="lastRow">
      <w:tblPr/>
      <w:tcPr>
        <w:tcBorders>
          <w:top w:val="nil"/>
          <w:left w:val="nil"/>
          <w:bottom w:val="single" w:sz="2" w:space="0" w:color="5E6A71" w:themeColor="text2"/>
          <w:right w:val="nil"/>
          <w:insideH w:val="nil"/>
          <w:insideV w:val="nil"/>
          <w:tl2br w:val="nil"/>
          <w:tr2bl w:val="nil"/>
        </w:tcBorders>
      </w:tcPr>
    </w:tblStylePr>
    <w:tblStylePr w:type="band1Horz">
      <w:tblPr/>
      <w:tcPr>
        <w:tcBorders>
          <w:top w:val="single" w:sz="4" w:space="0" w:color="9EA6AA" w:themeColor="accent4"/>
          <w:left w:val="single" w:sz="4" w:space="0" w:color="9EA6AA" w:themeColor="accent4"/>
          <w:bottom w:val="single" w:sz="4" w:space="0" w:color="9EA6AA" w:themeColor="accent4"/>
          <w:right w:val="single" w:sz="4" w:space="0" w:color="9EA6AA" w:themeColor="accent4"/>
          <w:insideH w:val="single" w:sz="4" w:space="0" w:color="9EA6AA" w:themeColor="accent4"/>
          <w:insideV w:val="single" w:sz="4" w:space="0" w:color="9EA6AA" w:themeColor="accent4"/>
          <w:tl2br w:val="nil"/>
          <w:tr2bl w:val="nil"/>
        </w:tcBorders>
        <w:shd w:val="clear" w:color="auto" w:fill="EBEDEE" w:themeFill="accent4" w:themeFillTint="33"/>
      </w:tcPr>
    </w:tblStylePr>
    <w:tblStylePr w:type="band2Horz">
      <w:tblPr/>
      <w:tcPr>
        <w:tcBorders>
          <w:top w:val="single" w:sz="4" w:space="0" w:color="9EA6AA" w:themeColor="accent4"/>
          <w:left w:val="single" w:sz="4" w:space="0" w:color="9EA6AA" w:themeColor="accent4"/>
          <w:bottom w:val="single" w:sz="4" w:space="0" w:color="9EA6AA" w:themeColor="accent4"/>
          <w:right w:val="single" w:sz="4" w:space="0" w:color="9EA6AA" w:themeColor="accent4"/>
          <w:insideH w:val="single" w:sz="4" w:space="0" w:color="9EA6AA" w:themeColor="accent4"/>
          <w:insideV w:val="single" w:sz="4" w:space="0" w:color="9EA6AA" w:themeColor="accent4"/>
          <w:tl2br w:val="nil"/>
          <w:tr2bl w:val="nil"/>
        </w:tcBorders>
      </w:tcPr>
    </w:tblStylePr>
  </w:style>
  <w:style w:type="table" w:styleId="PlainTable1">
    <w:name w:val="Plain Table 1"/>
    <w:basedOn w:val="TableNormal"/>
    <w:uiPriority w:val="41"/>
    <w:rsid w:val="00C822C3"/>
    <w:pPr>
      <w:spacing w:after="0" w:line="240" w:lineRule="auto"/>
    </w:pPr>
    <w:rPr>
      <w:rFonts w:ascii="Verdana" w:hAnsi="Verdana"/>
      <w:sz w:val="18"/>
      <w:szCs w:val="18"/>
      <w:lang w:val="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qFormat/>
    <w:rsid w:val="006677B3"/>
    <w:pPr>
      <w:spacing w:after="200"/>
    </w:pPr>
    <w:rPr>
      <w:i/>
      <w:iCs/>
      <w:szCs w:val="18"/>
    </w:rPr>
  </w:style>
  <w:style w:type="paragraph" w:styleId="NormalWeb">
    <w:name w:val="Normal (Web)"/>
    <w:basedOn w:val="Normal"/>
    <w:uiPriority w:val="99"/>
    <w:unhideWhenUsed/>
    <w:rsid w:val="00372564"/>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rsid w:val="00616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2253">
      <w:bodyDiv w:val="1"/>
      <w:marLeft w:val="0"/>
      <w:marRight w:val="0"/>
      <w:marTop w:val="0"/>
      <w:marBottom w:val="0"/>
      <w:divBdr>
        <w:top w:val="none" w:sz="0" w:space="0" w:color="auto"/>
        <w:left w:val="none" w:sz="0" w:space="0" w:color="auto"/>
        <w:bottom w:val="none" w:sz="0" w:space="0" w:color="auto"/>
        <w:right w:val="none" w:sz="0" w:space="0" w:color="auto"/>
      </w:divBdr>
    </w:div>
    <w:div w:id="806780373">
      <w:bodyDiv w:val="1"/>
      <w:marLeft w:val="0"/>
      <w:marRight w:val="0"/>
      <w:marTop w:val="0"/>
      <w:marBottom w:val="0"/>
      <w:divBdr>
        <w:top w:val="none" w:sz="0" w:space="0" w:color="auto"/>
        <w:left w:val="none" w:sz="0" w:space="0" w:color="auto"/>
        <w:bottom w:val="none" w:sz="0" w:space="0" w:color="auto"/>
        <w:right w:val="none" w:sz="0" w:space="0" w:color="auto"/>
      </w:divBdr>
    </w:div>
    <w:div w:id="947539694">
      <w:bodyDiv w:val="1"/>
      <w:marLeft w:val="0"/>
      <w:marRight w:val="0"/>
      <w:marTop w:val="0"/>
      <w:marBottom w:val="0"/>
      <w:divBdr>
        <w:top w:val="none" w:sz="0" w:space="0" w:color="auto"/>
        <w:left w:val="none" w:sz="0" w:space="0" w:color="auto"/>
        <w:bottom w:val="none" w:sz="0" w:space="0" w:color="auto"/>
        <w:right w:val="none" w:sz="0" w:space="0" w:color="auto"/>
      </w:divBdr>
    </w:div>
    <w:div w:id="1157837833">
      <w:bodyDiv w:val="1"/>
      <w:marLeft w:val="0"/>
      <w:marRight w:val="0"/>
      <w:marTop w:val="0"/>
      <w:marBottom w:val="0"/>
      <w:divBdr>
        <w:top w:val="none" w:sz="0" w:space="0" w:color="auto"/>
        <w:left w:val="none" w:sz="0" w:space="0" w:color="auto"/>
        <w:bottom w:val="none" w:sz="0" w:space="0" w:color="auto"/>
        <w:right w:val="none" w:sz="0" w:space="0" w:color="auto"/>
      </w:divBdr>
    </w:div>
    <w:div w:id="1206530149">
      <w:bodyDiv w:val="1"/>
      <w:marLeft w:val="0"/>
      <w:marRight w:val="0"/>
      <w:marTop w:val="0"/>
      <w:marBottom w:val="0"/>
      <w:divBdr>
        <w:top w:val="none" w:sz="0" w:space="0" w:color="auto"/>
        <w:left w:val="none" w:sz="0" w:space="0" w:color="auto"/>
        <w:bottom w:val="none" w:sz="0" w:space="0" w:color="auto"/>
        <w:right w:val="none" w:sz="0" w:space="0" w:color="auto"/>
      </w:divBdr>
    </w:div>
    <w:div w:id="1543252212">
      <w:bodyDiv w:val="1"/>
      <w:marLeft w:val="0"/>
      <w:marRight w:val="0"/>
      <w:marTop w:val="0"/>
      <w:marBottom w:val="0"/>
      <w:divBdr>
        <w:top w:val="none" w:sz="0" w:space="0" w:color="auto"/>
        <w:left w:val="none" w:sz="0" w:space="0" w:color="auto"/>
        <w:bottom w:val="none" w:sz="0" w:space="0" w:color="auto"/>
        <w:right w:val="none" w:sz="0" w:space="0" w:color="auto"/>
      </w:divBdr>
    </w:div>
    <w:div w:id="1861622886">
      <w:bodyDiv w:val="1"/>
      <w:marLeft w:val="0"/>
      <w:marRight w:val="0"/>
      <w:marTop w:val="0"/>
      <w:marBottom w:val="0"/>
      <w:divBdr>
        <w:top w:val="none" w:sz="0" w:space="0" w:color="auto"/>
        <w:left w:val="none" w:sz="0" w:space="0" w:color="auto"/>
        <w:bottom w:val="none" w:sz="0" w:space="0" w:color="auto"/>
        <w:right w:val="none" w:sz="0" w:space="0" w:color="auto"/>
      </w:divBdr>
    </w:div>
    <w:div w:id="1880245585">
      <w:bodyDiv w:val="1"/>
      <w:marLeft w:val="0"/>
      <w:marRight w:val="0"/>
      <w:marTop w:val="0"/>
      <w:marBottom w:val="0"/>
      <w:divBdr>
        <w:top w:val="none" w:sz="0" w:space="0" w:color="auto"/>
        <w:left w:val="none" w:sz="0" w:space="0" w:color="auto"/>
        <w:bottom w:val="none" w:sz="0" w:space="0" w:color="auto"/>
        <w:right w:val="none" w:sz="0" w:space="0" w:color="auto"/>
      </w:divBdr>
    </w:div>
    <w:div w:id="1988125988">
      <w:bodyDiv w:val="1"/>
      <w:marLeft w:val="0"/>
      <w:marRight w:val="0"/>
      <w:marTop w:val="0"/>
      <w:marBottom w:val="0"/>
      <w:divBdr>
        <w:top w:val="none" w:sz="0" w:space="0" w:color="auto"/>
        <w:left w:val="none" w:sz="0" w:space="0" w:color="auto"/>
        <w:bottom w:val="none" w:sz="0" w:space="0" w:color="auto"/>
        <w:right w:val="none" w:sz="0" w:space="0" w:color="auto"/>
      </w:divBdr>
      <w:divsChild>
        <w:div w:id="74205414">
          <w:marLeft w:val="547"/>
          <w:marRight w:val="0"/>
          <w:marTop w:val="0"/>
          <w:marBottom w:val="0"/>
          <w:divBdr>
            <w:top w:val="none" w:sz="0" w:space="0" w:color="auto"/>
            <w:left w:val="none" w:sz="0" w:space="0" w:color="auto"/>
            <w:bottom w:val="none" w:sz="0" w:space="0" w:color="auto"/>
            <w:right w:val="none" w:sz="0" w:space="0" w:color="auto"/>
          </w:divBdr>
        </w:div>
        <w:div w:id="1913734852">
          <w:marLeft w:val="547"/>
          <w:marRight w:val="0"/>
          <w:marTop w:val="0"/>
          <w:marBottom w:val="0"/>
          <w:divBdr>
            <w:top w:val="none" w:sz="0" w:space="0" w:color="auto"/>
            <w:left w:val="none" w:sz="0" w:space="0" w:color="auto"/>
            <w:bottom w:val="none" w:sz="0" w:space="0" w:color="auto"/>
            <w:right w:val="none" w:sz="0" w:space="0" w:color="auto"/>
          </w:divBdr>
        </w:div>
      </w:divsChild>
    </w:div>
    <w:div w:id="20761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verclyde.gov.uk/meetings/documents/16981/15%20-%20Fire%20Risk%20Assessment%20and%20Policy.pdf" TargetMode="External"/><Relationship Id="rId13" Type="http://schemas.openxmlformats.org/officeDocument/2006/relationships/hyperlink" Target="https://www.inverclyde.gov.uk/assets/attach/16870/performance-management-framework-2024-refresh.pdf" TargetMode="External"/><Relationship Id="rId18" Type="http://schemas.openxmlformats.org/officeDocument/2006/relationships/hyperlink" Target="https://www.inverclyde.gov.uk/meetings/documents/14702/13%20Education%20Services%20Digital%20Learning%20Strategy%202021-2028.pdf" TargetMode="External"/><Relationship Id="rId3" Type="http://schemas.openxmlformats.org/officeDocument/2006/relationships/hyperlink" Target="https://www.inverclyde.gov.uk/assets/attach/16133/Education-and-Communities-Committee-Delivery-and-Improvement-Plan-2023_26.pdf" TargetMode="External"/><Relationship Id="rId21" Type="http://schemas.openxmlformats.org/officeDocument/2006/relationships/hyperlink" Target="https://www.inverclyde.gov.uk/meetings/documents/16980/14%20-%20Remit%20from%20Audit%20-%20Corporate%20Risk%20Register.pdf" TargetMode="External"/><Relationship Id="rId7" Type="http://schemas.openxmlformats.org/officeDocument/2006/relationships/hyperlink" Target="https://www.inverclyde.gov.uk/meetings/documents/16829/04%20-%20Finance%20Strategy%20Report.pdf" TargetMode="External"/><Relationship Id="rId12" Type="http://schemas.openxmlformats.org/officeDocument/2006/relationships/hyperlink" Target="https://www.gov.scot/binaries/content/documents/govscot/publications/advice-and-guidance/2017/11/suitability-core-facts-publication/documents/suitability-core-fact-building-better-schools-investing-scotlands-future/suitability-core-fact-building-better-schools-investing-scotlands-future/govscot%3Adocument/suitability-core-fact-building-better-schools-investing-scotlands-future.pdf" TargetMode="External"/><Relationship Id="rId17" Type="http://schemas.openxmlformats.org/officeDocument/2006/relationships/hyperlink" Target="https://www.inverclyde.gov.uk/meetings/documents/9674/14%20Road%20Asset%20Management%20Strategy.pdf" TargetMode="External"/><Relationship Id="rId25" Type="http://schemas.openxmlformats.org/officeDocument/2006/relationships/hyperlink" Target="https://www.inverclyde.gov.uk/assets/attach/16980/Inverclyde-LHEE-Delivery-Plan-V1.0-draft-for-public-consultation-.pdf" TargetMode="External"/><Relationship Id="rId2" Type="http://schemas.openxmlformats.org/officeDocument/2006/relationships/hyperlink" Target="https://www.inverclyde.gov.uk/assets/attach/16663/5908-Inverclyde-Council-Plan-with-Appendix.pdf" TargetMode="External"/><Relationship Id="rId16" Type="http://schemas.openxmlformats.org/officeDocument/2006/relationships/hyperlink" Target="https://www.inverclyde.gov.uk/meetings/documents/15660/06%20Inverclyde%20Leisure%20Strategic%20Asset%20Review%20and%202022-25%20Funding%20Shortfall.pdf" TargetMode="External"/><Relationship Id="rId20" Type="http://schemas.openxmlformats.org/officeDocument/2006/relationships/hyperlink" Target="https://www.inverclyde.gov.uk/meetings/documents/16801/19%20-%20Remit%20from%20Audit%20-%20Risk%20Management%20Strategy.pdf" TargetMode="External"/><Relationship Id="rId1" Type="http://schemas.openxmlformats.org/officeDocument/2006/relationships/hyperlink" Target="https://www.inverclyde.gov.uk/assets/attach/16435/6008-Inverclyde-Alliance-Partnership-Plan.pdf" TargetMode="External"/><Relationship Id="rId6" Type="http://schemas.openxmlformats.org/officeDocument/2006/relationships/hyperlink" Target="https://www.inverclyde.gov.uk/meetings/documents/17137/07%20-%20Capital%20and%20Treasury%20Strategies.pdf" TargetMode="External"/><Relationship Id="rId11" Type="http://schemas.openxmlformats.org/officeDocument/2006/relationships/hyperlink" Target="https://www.bing.com/ck/a?!&amp;&amp;p=5a6eb5d4ac1c3223JmltdHM9MTcxMTE1MjAwMCZpZ3VpZD0wNDlkZDQyNC1lNmNlLTY1MzEtMWU2OC1jMDYzZTc5NjY0OTYmaW5zaWQ9NTIxOA&amp;ptn=3&amp;ver=2&amp;hsh=3&amp;fclid=049dd424-e6ce-6531-1e68-c063e7966496&amp;psq=scottish+government+core+facts+condition+guidance&amp;u=a1aHR0cHM6Ly93d3cuZ292LnNjb3QvcHVibGljYXRpb25zL2NvbmRpdGlvbi1jb3JlLWZhY3RzLXB1YmxpY2F0aW9uLw&amp;ntb=1" TargetMode="External"/><Relationship Id="rId24" Type="http://schemas.openxmlformats.org/officeDocument/2006/relationships/hyperlink" Target="https://www.inverclyde.gov.uk/assets/attach/16979/Inverclyde-LHEE-Strategy-V1.0-draft-for-public-consultation-.pdf" TargetMode="External"/><Relationship Id="rId5" Type="http://schemas.openxmlformats.org/officeDocument/2006/relationships/hyperlink" Target="https://www.inverclyde.gov.uk/assets/attach/16135/Policy-and-Resources-Committee-Delivery-and-Improvement-Plan-2023_26.pdf" TargetMode="External"/><Relationship Id="rId15" Type="http://schemas.openxmlformats.org/officeDocument/2006/relationships/hyperlink" Target="https://www.inverclyde.gov.uk/meetings/documents/13458/08%20Pitches%20AMP.pdf" TargetMode="External"/><Relationship Id="rId23" Type="http://schemas.openxmlformats.org/officeDocument/2006/relationships/hyperlink" Target="https://www.inverclyde.gov.uk/meetings/documents/15766/02%20-%20Net%20Zero%20Action%20Plan%202022-27.pdf" TargetMode="External"/><Relationship Id="rId10" Type="http://schemas.openxmlformats.org/officeDocument/2006/relationships/hyperlink" Target="https://www.inverclyde.gov.uk/meetings/documents/17142/13%20-%20Water%20Quality%20and%20Asbestos%20Report.pdf" TargetMode="External"/><Relationship Id="rId19" Type="http://schemas.openxmlformats.org/officeDocument/2006/relationships/hyperlink" Target="https://www.inverclyde.gov.uk/assets/attach/14994/Procurement-Strategy-2022-25.PDF" TargetMode="External"/><Relationship Id="rId4" Type="http://schemas.openxmlformats.org/officeDocument/2006/relationships/hyperlink" Target="https://www.inverclyde.gov.uk/assets/attach/16134/Environment-and-Regeneration-Committee-Delivery-and-Improvement-Plan-2023_26.pdf" TargetMode="External"/><Relationship Id="rId9" Type="http://schemas.openxmlformats.org/officeDocument/2006/relationships/hyperlink" Target="https://www.inverclyde.gov.uk/meetings/documents/17142/13%20-%20Water%20Quality%20and%20Asbestos%20Report.pdf" TargetMode="External"/><Relationship Id="rId14" Type="http://schemas.openxmlformats.org/officeDocument/2006/relationships/hyperlink" Target="https://www.inverclyde.gov.uk/council-and-government/performance/statutory-performance-indicators/lgbf" TargetMode="External"/><Relationship Id="rId22" Type="http://schemas.openxmlformats.org/officeDocument/2006/relationships/hyperlink" Target="https://www.inverclyde.gov.uk/assets/attach/14504/Net-Zero-Strategy_WEB.pdf" TargetMode="External"/></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orporate\Simple,%20client%20or%20multipurpose%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1FCDB93D3405893E51B3EC98D5D32"/>
        <w:category>
          <w:name w:val="General"/>
          <w:gallery w:val="placeholder"/>
        </w:category>
        <w:types>
          <w:type w:val="bbPlcHdr"/>
        </w:types>
        <w:behaviors>
          <w:behavior w:val="content"/>
        </w:behaviors>
        <w:guid w:val="{23DC103D-2CF2-4F30-A705-A712ADDBB41B}"/>
      </w:docPartPr>
      <w:docPartBody>
        <w:p w:rsidR="007674F3" w:rsidRDefault="00FB7871">
          <w:pPr>
            <w:pStyle w:val="EF21FCDB93D3405893E51B3EC98D5D32"/>
          </w:pPr>
          <w:r w:rsidRPr="00A9163D">
            <w:rPr>
              <w:rStyle w:val="PlaceholderText"/>
            </w:rPr>
            <w:t xml:space="preserve">Click here to enter </w:t>
          </w:r>
          <w:r>
            <w:rPr>
              <w:rStyle w:val="PlaceholderText"/>
            </w:rPr>
            <w:t>title</w:t>
          </w:r>
        </w:p>
      </w:docPartBody>
    </w:docPart>
    <w:docPart>
      <w:docPartPr>
        <w:name w:val="97A72D8951F74497B58DD455D288C02D"/>
        <w:category>
          <w:name w:val="General"/>
          <w:gallery w:val="placeholder"/>
        </w:category>
        <w:types>
          <w:type w:val="bbPlcHdr"/>
        </w:types>
        <w:behaviors>
          <w:behavior w:val="content"/>
        </w:behaviors>
        <w:guid w:val="{AFD0D1BD-CBE5-4F91-AFC2-A9E6D3515CDB}"/>
      </w:docPartPr>
      <w:docPartBody>
        <w:p w:rsidR="007674F3" w:rsidRDefault="00FB7871">
          <w:pPr>
            <w:pStyle w:val="97A72D8951F74497B58DD455D288C02D"/>
          </w:pPr>
          <w:r w:rsidRPr="00A9163D">
            <w:rPr>
              <w:rStyle w:val="PlaceholderText"/>
            </w:rPr>
            <w:t xml:space="preserve">Click here to enter </w:t>
          </w:r>
          <w:r>
            <w:rPr>
              <w:rStyle w:val="PlaceholderText"/>
            </w:rPr>
            <w:t>project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F3"/>
    <w:rsid w:val="00084B58"/>
    <w:rsid w:val="000A6992"/>
    <w:rsid w:val="000E706D"/>
    <w:rsid w:val="00137880"/>
    <w:rsid w:val="002C0EEC"/>
    <w:rsid w:val="002F5B58"/>
    <w:rsid w:val="00331942"/>
    <w:rsid w:val="003C5095"/>
    <w:rsid w:val="003E256B"/>
    <w:rsid w:val="004822FA"/>
    <w:rsid w:val="004E59BB"/>
    <w:rsid w:val="00537215"/>
    <w:rsid w:val="005539C1"/>
    <w:rsid w:val="005A421A"/>
    <w:rsid w:val="005B09C8"/>
    <w:rsid w:val="005C046D"/>
    <w:rsid w:val="00614475"/>
    <w:rsid w:val="006A763F"/>
    <w:rsid w:val="006B1050"/>
    <w:rsid w:val="007668EA"/>
    <w:rsid w:val="007674F3"/>
    <w:rsid w:val="0082473A"/>
    <w:rsid w:val="00841A57"/>
    <w:rsid w:val="00850DE2"/>
    <w:rsid w:val="008B6EB5"/>
    <w:rsid w:val="00917C51"/>
    <w:rsid w:val="00A21DDA"/>
    <w:rsid w:val="00A82282"/>
    <w:rsid w:val="00AE1A3A"/>
    <w:rsid w:val="00B41972"/>
    <w:rsid w:val="00B542EC"/>
    <w:rsid w:val="00B55228"/>
    <w:rsid w:val="00B706AD"/>
    <w:rsid w:val="00B82FA0"/>
    <w:rsid w:val="00BB6EB6"/>
    <w:rsid w:val="00BF6A88"/>
    <w:rsid w:val="00D4361F"/>
    <w:rsid w:val="00DF080A"/>
    <w:rsid w:val="00E122BF"/>
    <w:rsid w:val="00E5424F"/>
    <w:rsid w:val="00E82C79"/>
    <w:rsid w:val="00E9564B"/>
    <w:rsid w:val="00FB78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21FCDB93D3405893E51B3EC98D5D32">
    <w:name w:val="EF21FCDB93D3405893E51B3EC98D5D32"/>
  </w:style>
  <w:style w:type="paragraph" w:customStyle="1" w:styleId="97A72D8951F74497B58DD455D288C02D">
    <w:name w:val="97A72D8951F74497B58DD455D288C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urnTown">
  <a:themeElements>
    <a:clrScheme name="Turntown">
      <a:dk1>
        <a:sysClr val="windowText" lastClr="000000"/>
      </a:dk1>
      <a:lt1>
        <a:sysClr val="window" lastClr="FFFFFF"/>
      </a:lt1>
      <a:dk2>
        <a:srgbClr val="5E6A71"/>
      </a:dk2>
      <a:lt2>
        <a:srgbClr val="FFFFFF"/>
      </a:lt2>
      <a:accent1>
        <a:srgbClr val="1E4479"/>
      </a:accent1>
      <a:accent2>
        <a:srgbClr val="009FDA"/>
      </a:accent2>
      <a:accent3>
        <a:srgbClr val="5E6A71"/>
      </a:accent3>
      <a:accent4>
        <a:srgbClr val="9EA6AA"/>
      </a:accent4>
      <a:accent5>
        <a:srgbClr val="D55C17"/>
      </a:accent5>
      <a:accent6>
        <a:srgbClr val="69BE28"/>
      </a:accent6>
      <a:hlink>
        <a:srgbClr val="0000FF"/>
      </a:hlink>
      <a:folHlink>
        <a:srgbClr val="800080"/>
      </a:folHlink>
    </a:clrScheme>
    <a:fontScheme name="TurnTow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DD047D3C74D428CBFC300163F01AE" ma:contentTypeVersion="16" ma:contentTypeDescription="Create a new document." ma:contentTypeScope="" ma:versionID="70d11991219a1f740457279654d06b0f">
  <xsd:schema xmlns:xsd="http://www.w3.org/2001/XMLSchema" xmlns:xs="http://www.w3.org/2001/XMLSchema" xmlns:p="http://schemas.microsoft.com/office/2006/metadata/properties" xmlns:ns2="b2c16b17-5012-476b-b3bf-62b212bb6b20" xmlns:ns3="16fecb08-56b6-4a1e-8245-a620f8a0953a" targetNamespace="http://schemas.microsoft.com/office/2006/metadata/properties" ma:root="true" ma:fieldsID="947d2c6ae1b6993ec45c89033f7e77e8" ns2:_="" ns3:_="">
    <xsd:import namespace="b2c16b17-5012-476b-b3bf-62b212bb6b20"/>
    <xsd:import namespace="16fecb08-56b6-4a1e-8245-a620f8a09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2:TaxKeywordTaxHTFiel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6b17-5012-476b-b3bf-62b212bb6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fcd13b-15b9-4b6c-b044-a382881eefe8}" ma:internalName="TaxCatchAll" ma:showField="CatchAllData" ma:web="b2c16b17-5012-476b-b3bf-62b212bb6b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displayName="TaxKeywordTaxHTField" ma:hidden="true" ma:internalName="TaxKeywordTaxHTField">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fecb08-56b6-4a1e-8245-a620f8a09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a05f64b-033b-470b-9367-323cc28bf54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b2c16b17-5012-476b-b3bf-62b212bb6b20" xsi:nil="true"/>
    <lcf76f155ced4ddcb4097134ff3c332f xmlns="16fecb08-56b6-4a1e-8245-a620f8a0953a">
      <Terms xmlns="http://schemas.microsoft.com/office/infopath/2007/PartnerControls"/>
    </lcf76f155ced4ddcb4097134ff3c332f>
    <TaxCatchAll xmlns="b2c16b17-5012-476b-b3bf-62b212bb6b20" xsi:nil="true"/>
    <SharedWithUsers xmlns="b2c16b17-5012-476b-b3bf-62b212bb6b20">
      <UserInfo>
        <DisplayName>Hassan Waheed</DisplayName>
        <AccountId>111</AccountId>
        <AccountType/>
      </UserInfo>
    </SharedWithUsers>
  </documentManagement>
</p:properties>
</file>

<file path=customXml/itemProps1.xml><?xml version="1.0" encoding="utf-8"?>
<ds:datastoreItem xmlns:ds="http://schemas.openxmlformats.org/officeDocument/2006/customXml" ds:itemID="{17D5EE9A-7032-4021-B450-060402824600}">
  <ds:schemaRefs>
    <ds:schemaRef ds:uri="http://schemas.microsoft.com/sharepoint/v3/contenttype/forms"/>
  </ds:schemaRefs>
</ds:datastoreItem>
</file>

<file path=customXml/itemProps2.xml><?xml version="1.0" encoding="utf-8"?>
<ds:datastoreItem xmlns:ds="http://schemas.openxmlformats.org/officeDocument/2006/customXml" ds:itemID="{3B03C30E-D9BF-4820-9822-3C9C8B8D5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6b17-5012-476b-b3bf-62b212bb6b20"/>
    <ds:schemaRef ds:uri="16fecb08-56b6-4a1e-8245-a620f8a09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D24A98-315A-48F5-BF2B-C2B7BF04A2BD}">
  <ds:schemaRefs>
    <ds:schemaRef ds:uri="http://schemas.openxmlformats.org/officeDocument/2006/bibliography"/>
  </ds:schemaRefs>
</ds:datastoreItem>
</file>

<file path=customXml/itemProps4.xml><?xml version="1.0" encoding="utf-8"?>
<ds:datastoreItem xmlns:ds="http://schemas.openxmlformats.org/officeDocument/2006/customXml" ds:itemID="{5F32DDEE-807C-4422-B972-F42C97F4CA45}">
  <ds:schemaRefs>
    <ds:schemaRef ds:uri="http://schemas.microsoft.com/office/2006/metadata/properties"/>
    <ds:schemaRef ds:uri="http://schemas.microsoft.com/office/infopath/2007/PartnerControls"/>
    <ds:schemaRef ds:uri="b2c16b17-5012-476b-b3bf-62b212bb6b20"/>
    <ds:schemaRef ds:uri="16fecb08-56b6-4a1e-8245-a620f8a0953a"/>
  </ds:schemaRefs>
</ds:datastoreItem>
</file>

<file path=docProps/app.xml><?xml version="1.0" encoding="utf-8"?>
<Properties xmlns="http://schemas.openxmlformats.org/officeDocument/2006/extended-properties" xmlns:vt="http://schemas.openxmlformats.org/officeDocument/2006/docPropsVTypes">
  <Template>Simple, client or multipurpose report</Template>
  <TotalTime>397</TotalTime>
  <Pages>32</Pages>
  <Words>10943</Words>
  <Characters>62376</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73173</CharactersWithSpaces>
  <SharedDoc>false</SharedDoc>
  <HLinks>
    <vt:vector size="42" baseType="variant">
      <vt:variant>
        <vt:i4>6553705</vt:i4>
      </vt:variant>
      <vt:variant>
        <vt:i4>18</vt:i4>
      </vt:variant>
      <vt:variant>
        <vt:i4>0</vt:i4>
      </vt:variant>
      <vt:variant>
        <vt:i4>5</vt:i4>
      </vt:variant>
      <vt:variant>
        <vt:lpwstr>https://businessenergyscotland.org/</vt:lpwstr>
      </vt:variant>
      <vt:variant>
        <vt:lpwstr/>
      </vt:variant>
      <vt:variant>
        <vt:i4>3604598</vt:i4>
      </vt:variant>
      <vt:variant>
        <vt:i4>15</vt:i4>
      </vt:variant>
      <vt:variant>
        <vt:i4>0</vt:i4>
      </vt:variant>
      <vt:variant>
        <vt:i4>5</vt:i4>
      </vt:variant>
      <vt:variant>
        <vt:lpwstr>https://www.salixfinance.co.uk/loans/scotland-loans</vt:lpwstr>
      </vt:variant>
      <vt:variant>
        <vt:lpwstr>:~:text=About%20this%20scheme&amp;text=This%20scheme%20offers%20zero%2Dinterest,achieving%20their%20net%2Dzero%20aspirations.</vt:lpwstr>
      </vt:variant>
      <vt:variant>
        <vt:i4>5177363</vt:i4>
      </vt:variant>
      <vt:variant>
        <vt:i4>12</vt:i4>
      </vt:variant>
      <vt:variant>
        <vt:i4>0</vt:i4>
      </vt:variant>
      <vt:variant>
        <vt:i4>5</vt:i4>
      </vt:variant>
      <vt:variant>
        <vt:lpwstr>https://www.gov.scot/publications/area-based-schemes/</vt:lpwstr>
      </vt:variant>
      <vt:variant>
        <vt:lpwstr/>
      </vt:variant>
      <vt:variant>
        <vt:i4>1966151</vt:i4>
      </vt:variant>
      <vt:variant>
        <vt:i4>9</vt:i4>
      </vt:variant>
      <vt:variant>
        <vt:i4>0</vt:i4>
      </vt:variant>
      <vt:variant>
        <vt:i4>5</vt:i4>
      </vt:variant>
      <vt:variant>
        <vt:lpwstr>https://www.homeenergyscotland.org/?gclid=CjwKCAiA3aeqBhBzEiwAxFiOBjepQm5IDEcjtZe6iMAC1jW2ZTEqvuAO6_X3JvU9wFPQZ2pEOKq-gBoCE6wQAvD_BwE</vt:lpwstr>
      </vt:variant>
      <vt:variant>
        <vt:lpwstr/>
      </vt:variant>
      <vt:variant>
        <vt:i4>4849678</vt:i4>
      </vt:variant>
      <vt:variant>
        <vt:i4>6</vt:i4>
      </vt:variant>
      <vt:variant>
        <vt:i4>0</vt:i4>
      </vt:variant>
      <vt:variant>
        <vt:i4>5</vt:i4>
      </vt:variant>
      <vt:variant>
        <vt:lpwstr>https://www.homeenergyscotland.org/funding/grants-loans/</vt:lpwstr>
      </vt:variant>
      <vt:variant>
        <vt:lpwstr/>
      </vt:variant>
      <vt:variant>
        <vt:i4>5570586</vt:i4>
      </vt:variant>
      <vt:variant>
        <vt:i4>3</vt:i4>
      </vt:variant>
      <vt:variant>
        <vt:i4>0</vt:i4>
      </vt:variant>
      <vt:variant>
        <vt:i4>5</vt:i4>
      </vt:variant>
      <vt:variant>
        <vt:lpwstr>https://www.gov.scot/publications/heat-network-fund-application-guidance/</vt:lpwstr>
      </vt:variant>
      <vt:variant>
        <vt:lpwstr/>
      </vt:variant>
      <vt:variant>
        <vt:i4>1179673</vt:i4>
      </vt:variant>
      <vt:variant>
        <vt:i4>0</vt:i4>
      </vt:variant>
      <vt:variant>
        <vt:i4>0</vt:i4>
      </vt:variant>
      <vt:variant>
        <vt:i4>5</vt:i4>
      </vt:variant>
      <vt:variant>
        <vt:lpwstr>https://www.heatnetworksupport.scot/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Smith</dc:creator>
  <cp:keywords/>
  <cp:lastModifiedBy>Eddie Montgomery</cp:lastModifiedBy>
  <cp:revision>18</cp:revision>
  <cp:lastPrinted>2023-12-18T15:50:00Z</cp:lastPrinted>
  <dcterms:created xsi:type="dcterms:W3CDTF">2024-04-11T12:22:00Z</dcterms:created>
  <dcterms:modified xsi:type="dcterms:W3CDTF">2024-08-27T16:01:00Z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Ptr">
    <vt:lpwstr>379829308</vt:lpwstr>
  </property>
  <property fmtid="{D5CDD505-2E9C-101B-9397-08002B2CF9AE}" pid="3" name="RibbonPtrTurnTownGlobaldotm">
    <vt:lpwstr>306212316</vt:lpwstr>
  </property>
  <property fmtid="{D5CDD505-2E9C-101B-9397-08002B2CF9AE}" pid="4" name="RibbonPtrSimpleReportdotm">
    <vt:lpwstr>322848988</vt:lpwstr>
  </property>
  <property fmtid="{D5CDD505-2E9C-101B-9397-08002B2CF9AE}" pid="5" name="DocOnBehalfOfLogo">
    <vt:lpwstr>Turner &amp; Townsend</vt:lpwstr>
  </property>
  <property fmtid="{D5CDD505-2E9C-101B-9397-08002B2CF9AE}" pid="6" name="DocCreationDate">
    <vt:lpwstr>December 2023</vt:lpwstr>
  </property>
  <property fmtid="{D5CDD505-2E9C-101B-9397-08002B2CF9AE}" pid="7" name="RibbonPtrSimple,clientormultipurposereportdotm">
    <vt:lpwstr>467224996</vt:lpwstr>
  </property>
  <property fmtid="{D5CDD505-2E9C-101B-9397-08002B2CF9AE}" pid="8" name="DocWeb">
    <vt:lpwstr>www.turnerandtownsend.com</vt:lpwstr>
  </property>
  <property fmtid="{D5CDD505-2E9C-101B-9397-08002B2CF9AE}" pid="9" name="DocOnBehalfOfAuthor">
    <vt:lpwstr>Ryan Smith</vt:lpwstr>
  </property>
  <property fmtid="{D5CDD505-2E9C-101B-9397-08002B2CF9AE}" pid="10" name="DocOnBehalfOfPosition">
    <vt:lpwstr>Senior Consultant</vt:lpwstr>
  </property>
  <property fmtid="{D5CDD505-2E9C-101B-9397-08002B2CF9AE}" pid="11" name="DocClient">
    <vt:lpwstr>Inverclyde Council</vt:lpwstr>
  </property>
  <property fmtid="{D5CDD505-2E9C-101B-9397-08002B2CF9AE}" pid="12" name="DocProject">
    <vt:lpwstr>Local Heat &amp; Enery Efficiency Delivery Plan</vt:lpwstr>
  </property>
  <property fmtid="{D5CDD505-2E9C-101B-9397-08002B2CF9AE}" pid="13" name="DocWizardRun">
    <vt:lpwstr>Yes</vt:lpwstr>
  </property>
  <property fmtid="{D5CDD505-2E9C-101B-9397-08002B2CF9AE}" pid="14" name="DocOnBehalfOfIndex">
    <vt:lpwstr>0</vt:lpwstr>
  </property>
  <property fmtid="{D5CDD505-2E9C-101B-9397-08002B2CF9AE}" pid="15" name="DocOnBehalfOfRegion">
    <vt:lpwstr>UK and Ireland</vt:lpwstr>
  </property>
  <property fmtid="{D5CDD505-2E9C-101B-9397-08002B2CF9AE}" pid="16" name="DocOnBehalfOfOffice">
    <vt:lpwstr>Glasgow</vt:lpwstr>
  </property>
  <property fmtid="{D5CDD505-2E9C-101B-9397-08002B2CF9AE}" pid="17" name="DocOnBehalfOfCompany">
    <vt:lpwstr>Turner &amp; Townsend Consulting Limited</vt:lpwstr>
  </property>
  <property fmtid="{D5CDD505-2E9C-101B-9397-08002B2CF9AE}" pid="18" name="DocOnBehalfOfCountry">
    <vt:lpwstr>UK</vt:lpwstr>
  </property>
  <property fmtid="{D5CDD505-2E9C-101B-9397-08002B2CF9AE}" pid="19" name="DocOnBehalfOfWebsite">
    <vt:lpwstr>www.turnerandtownsend.com</vt:lpwstr>
  </property>
  <property fmtid="{D5CDD505-2E9C-101B-9397-08002B2CF9AE}" pid="20" name="DocOnBehalfOfFooter1">
    <vt:lpwstr>Turner &amp; Townsend Consulting Limited</vt:lpwstr>
  </property>
  <property fmtid="{D5CDD505-2E9C-101B-9397-08002B2CF9AE}" pid="21" name="DocOnBehalfOfFooter2">
    <vt:lpwstr>Registered office: Low Hall, Calverley Lane, Horsforth, Leeds LS18 4GH, United Kingdom. Registered in England and Wales. Registration No: 3154483</vt:lpwstr>
  </property>
  <property fmtid="{D5CDD505-2E9C-101B-9397-08002B2CF9AE}" pid="22" name="DocOnBehalfOfFooter3">
    <vt:lpwstr/>
  </property>
  <property fmtid="{D5CDD505-2E9C-101B-9397-08002B2CF9AE}" pid="23" name="DocOnBehalfOfAward">
    <vt:lpwstr>IiP</vt:lpwstr>
  </property>
  <property fmtid="{D5CDD505-2E9C-101B-9397-08002B2CF9AE}" pid="24" name="DocOnBehalfOfAddress1">
    <vt:lpwstr>33 Bothwell Street</vt:lpwstr>
  </property>
  <property fmtid="{D5CDD505-2E9C-101B-9397-08002B2CF9AE}" pid="25" name="DocOnBehalfOfAddress2">
    <vt:lpwstr>2nd Floor</vt:lpwstr>
  </property>
  <property fmtid="{D5CDD505-2E9C-101B-9397-08002B2CF9AE}" pid="26" name="DocOnBehalfOfAddress3">
    <vt:lpwstr>Glasgow</vt:lpwstr>
  </property>
  <property fmtid="{D5CDD505-2E9C-101B-9397-08002B2CF9AE}" pid="27" name="DocOnBehalfOfAddress4">
    <vt:lpwstr>G2 6NL</vt:lpwstr>
  </property>
  <property fmtid="{D5CDD505-2E9C-101B-9397-08002B2CF9AE}" pid="28" name="DocOnBehalfOfAddress5">
    <vt:lpwstr/>
  </property>
  <property fmtid="{D5CDD505-2E9C-101B-9397-08002B2CF9AE}" pid="29" name="DocOnBehalfOfAddress6">
    <vt:lpwstr/>
  </property>
  <property fmtid="{D5CDD505-2E9C-101B-9397-08002B2CF9AE}" pid="30" name="DocOnBehalfOfTelephone">
    <vt:lpwstr>+44 (0) 141 221 5358</vt:lpwstr>
  </property>
  <property fmtid="{D5CDD505-2E9C-101B-9397-08002B2CF9AE}" pid="31" name="DocOnBehalfOfPOBox1">
    <vt:lpwstr/>
  </property>
  <property fmtid="{D5CDD505-2E9C-101B-9397-08002B2CF9AE}" pid="32" name="DocOnBehalfOfPOBox2">
    <vt:lpwstr/>
  </property>
  <property fmtid="{D5CDD505-2E9C-101B-9397-08002B2CF9AE}" pid="33" name="DocOnBehalfOfPOBox3">
    <vt:lpwstr/>
  </property>
  <property fmtid="{D5CDD505-2E9C-101B-9397-08002B2CF9AE}" pid="34" name="DocOnBehalfOfPOBox4">
    <vt:lpwstr/>
  </property>
  <property fmtid="{D5CDD505-2E9C-101B-9397-08002B2CF9AE}" pid="35" name="DocOnBehalfOfEmail">
    <vt:lpwstr>ryan.smith@turntown.co.uk</vt:lpwstr>
  </property>
  <property fmtid="{D5CDD505-2E9C-101B-9397-08002B2CF9AE}" pid="36" name="DocOnBehalfOfTelephoneAuto">
    <vt:lpwstr>Yes</vt:lpwstr>
  </property>
  <property fmtid="{D5CDD505-2E9C-101B-9397-08002B2CF9AE}" pid="37" name="DocCurrentLogoFile">
    <vt:lpwstr>C:\Templates\Corporate\Logos\Turner &amp; Townsend.png</vt:lpwstr>
  </property>
  <property fmtid="{D5CDD505-2E9C-101B-9397-08002B2CF9AE}" pid="38" name="DocAddress">
    <vt:lpwstr>33 Bothwell Street_x000d_
2nd Floor_x000d_
Glasgow_x000d_
G2 6NL</vt:lpwstr>
  </property>
  <property fmtid="{D5CDD505-2E9C-101B-9397-08002B2CF9AE}" pid="39" name="DocPOBox">
    <vt:lpwstr/>
  </property>
  <property fmtid="{D5CDD505-2E9C-101B-9397-08002B2CF9AE}" pid="40" name="DocCompany">
    <vt:lpwstr>Turner &amp; Townsend Consulting Limited</vt:lpwstr>
  </property>
  <property fmtid="{D5CDD505-2E9C-101B-9397-08002B2CF9AE}" pid="41" name="DocTelephone">
    <vt:lpwstr>+44 (0) 141 221 5358</vt:lpwstr>
  </property>
  <property fmtid="{D5CDD505-2E9C-101B-9397-08002B2CF9AE}" pid="42" name="DocEmail">
    <vt:lpwstr>ryan.smith@turntown.co.uk</vt:lpwstr>
  </property>
  <property fmtid="{D5CDD505-2E9C-101B-9397-08002B2CF9AE}" pid="43" name="docType">
    <vt:lpwstr>CL</vt:lpwstr>
  </property>
  <property fmtid="{D5CDD505-2E9C-101B-9397-08002B2CF9AE}" pid="44" name="docPaper">
    <vt:lpwstr>A4</vt:lpwstr>
  </property>
  <property fmtid="{D5CDD505-2E9C-101B-9397-08002B2CF9AE}" pid="45" name="docOrient">
    <vt:lpwstr>Portrait</vt:lpwstr>
  </property>
  <property fmtid="{D5CDD505-2E9C-101B-9397-08002B2CF9AE}" pid="46" name="docColumns">
    <vt:lpwstr>One</vt:lpwstr>
  </property>
  <property fmtid="{D5CDD505-2E9C-101B-9397-08002B2CF9AE}" pid="47" name="docNumbering">
    <vt:lpwstr>Outline numbered headings</vt:lpwstr>
  </property>
  <property fmtid="{D5CDD505-2E9C-101B-9397-08002B2CF9AE}" pid="48" name="docTocDepth">
    <vt:lpwstr>Heading 4</vt:lpwstr>
  </property>
  <property fmtid="{D5CDD505-2E9C-101B-9397-08002B2CF9AE}" pid="49" name="DocSpellCheckLang">
    <vt:lpwstr>English (United Kingdom)</vt:lpwstr>
  </property>
  <property fmtid="{D5CDD505-2E9C-101B-9397-08002B2CF9AE}" pid="50" name="DocDisclaimer">
    <vt:lpwstr>Report Disclaimer</vt:lpwstr>
  </property>
  <property fmtid="{D5CDD505-2E9C-101B-9397-08002B2CF9AE}" pid="51" name="DocTitle">
    <vt:lpwstr>Local Heat &amp; Enery Efficiency Delivery Plan</vt:lpwstr>
  </property>
  <property fmtid="{D5CDD505-2E9C-101B-9397-08002B2CF9AE}" pid="52" name="DocClearNotes">
    <vt:lpwstr>Yes</vt:lpwstr>
  </property>
  <property fmtid="{D5CDD505-2E9C-101B-9397-08002B2CF9AE}" pid="53" name="CC_TITLE">
    <vt:lpwstr> </vt:lpwstr>
  </property>
  <property fmtid="{D5CDD505-2E9C-101B-9397-08002B2CF9AE}" pid="54" name="CC_PROJECT">
    <vt:lpwstr>Inverclyde Council</vt:lpwstr>
  </property>
  <property fmtid="{D5CDD505-2E9C-101B-9397-08002B2CF9AE}" pid="55" name="CC_CLIENT">
    <vt:lpwstr> </vt:lpwstr>
  </property>
  <property fmtid="{D5CDD505-2E9C-101B-9397-08002B2CF9AE}" pid="56" name="ClassificationContentMarkingHeaderShapeIds">
    <vt:lpwstr>3bbc11cf,2070a173,35370475,54b515f0,1a7a73d,4c2b4c6b,13366212,70008c8d,1bcd1b4</vt:lpwstr>
  </property>
  <property fmtid="{D5CDD505-2E9C-101B-9397-08002B2CF9AE}" pid="57" name="ClassificationContentMarkingHeaderFontProps">
    <vt:lpwstr>#000000,12,Calibri</vt:lpwstr>
  </property>
  <property fmtid="{D5CDD505-2E9C-101B-9397-08002B2CF9AE}" pid="58" name="ClassificationContentMarkingHeaderText">
    <vt:lpwstr>Classification : Official</vt:lpwstr>
  </property>
  <property fmtid="{D5CDD505-2E9C-101B-9397-08002B2CF9AE}" pid="59" name="MSIP_Label_30680500-9625-44ee-9c58-46889c8e0cbf_Enabled">
    <vt:lpwstr>true</vt:lpwstr>
  </property>
  <property fmtid="{D5CDD505-2E9C-101B-9397-08002B2CF9AE}" pid="60" name="MSIP_Label_30680500-9625-44ee-9c58-46889c8e0cbf_SetDate">
    <vt:lpwstr>2023-11-21T16:37:22Z</vt:lpwstr>
  </property>
  <property fmtid="{D5CDD505-2E9C-101B-9397-08002B2CF9AE}" pid="61" name="MSIP_Label_30680500-9625-44ee-9c58-46889c8e0cbf_Method">
    <vt:lpwstr>Privileged</vt:lpwstr>
  </property>
  <property fmtid="{D5CDD505-2E9C-101B-9397-08002B2CF9AE}" pid="62" name="MSIP_Label_30680500-9625-44ee-9c58-46889c8e0cbf_Name">
    <vt:lpwstr>Confidential-Client</vt:lpwstr>
  </property>
  <property fmtid="{D5CDD505-2E9C-101B-9397-08002B2CF9AE}" pid="63" name="MSIP_Label_30680500-9625-44ee-9c58-46889c8e0cbf_SiteId">
    <vt:lpwstr>ca18acb0-3312-44f2-869d-5b01ed8bb47d</vt:lpwstr>
  </property>
  <property fmtid="{D5CDD505-2E9C-101B-9397-08002B2CF9AE}" pid="64" name="MSIP_Label_30680500-9625-44ee-9c58-46889c8e0cbf_ActionId">
    <vt:lpwstr>eb6107aa-6f53-4214-88a7-3133057e0698</vt:lpwstr>
  </property>
  <property fmtid="{D5CDD505-2E9C-101B-9397-08002B2CF9AE}" pid="65" name="MSIP_Label_30680500-9625-44ee-9c58-46889c8e0cbf_ContentBits">
    <vt:lpwstr>1</vt:lpwstr>
  </property>
  <property fmtid="{D5CDD505-2E9C-101B-9397-08002B2CF9AE}" pid="66" name="TaxKeyword">
    <vt:lpwstr/>
  </property>
  <property fmtid="{D5CDD505-2E9C-101B-9397-08002B2CF9AE}" pid="67" name="ContentTypeId">
    <vt:lpwstr>0x010100F75DD047D3C74D428CBFC300163F01AE</vt:lpwstr>
  </property>
  <property fmtid="{D5CDD505-2E9C-101B-9397-08002B2CF9AE}" pid="68" name="MediaServiceImageTags">
    <vt:lpwstr/>
  </property>
  <property fmtid="{D5CDD505-2E9C-101B-9397-08002B2CF9AE}" pid="69" name="MSIP_Label_ed63e432-7a5b-4534-ada9-2e736aca8ba4_Enabled">
    <vt:lpwstr>true</vt:lpwstr>
  </property>
  <property fmtid="{D5CDD505-2E9C-101B-9397-08002B2CF9AE}" pid="70" name="MSIP_Label_ed63e432-7a5b-4534-ada9-2e736aca8ba4_SetDate">
    <vt:lpwstr>2023-12-21T19:37:29Z</vt:lpwstr>
  </property>
  <property fmtid="{D5CDD505-2E9C-101B-9397-08002B2CF9AE}" pid="71" name="MSIP_Label_ed63e432-7a5b-4534-ada9-2e736aca8ba4_Method">
    <vt:lpwstr>Privileged</vt:lpwstr>
  </property>
  <property fmtid="{D5CDD505-2E9C-101B-9397-08002B2CF9AE}" pid="72" name="MSIP_Label_ed63e432-7a5b-4534-ada9-2e736aca8ba4_Name">
    <vt:lpwstr>Official</vt:lpwstr>
  </property>
  <property fmtid="{D5CDD505-2E9C-101B-9397-08002B2CF9AE}" pid="73" name="MSIP_Label_ed63e432-7a5b-4534-ada9-2e736aca8ba4_SiteId">
    <vt:lpwstr>5eee4d58-f197-4ad7-9e39-ebd0d2463660</vt:lpwstr>
  </property>
  <property fmtid="{D5CDD505-2E9C-101B-9397-08002B2CF9AE}" pid="74" name="MSIP_Label_ed63e432-7a5b-4534-ada9-2e736aca8ba4_ActionId">
    <vt:lpwstr>8c20ab1e-3f66-442f-848d-2ce5eae22055</vt:lpwstr>
  </property>
  <property fmtid="{D5CDD505-2E9C-101B-9397-08002B2CF9AE}" pid="75" name="MSIP_Label_ed63e432-7a5b-4534-ada9-2e736aca8ba4_ContentBits">
    <vt:lpwstr>1</vt:lpwstr>
  </property>
</Properties>
</file>