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9484" w14:textId="764BB6A5" w:rsidR="00A807FD" w:rsidRDefault="00CA496F" w:rsidP="00992D86">
      <w:pPr>
        <w:rPr>
          <w:rFonts w:cs="Arial"/>
          <w:sz w:val="52"/>
        </w:rPr>
      </w:pPr>
      <w:r w:rsidRPr="007618E5">
        <w:rPr>
          <w:rFonts w:cs="Arial"/>
          <w:sz w:val="52"/>
        </w:rPr>
        <w:t xml:space="preserve">Child Rights and Wellbeing </w:t>
      </w:r>
      <w:r>
        <w:rPr>
          <w:rFonts w:cs="Arial"/>
          <w:sz w:val="52"/>
        </w:rPr>
        <w:t xml:space="preserve">Impact Assessment </w:t>
      </w:r>
      <w:r w:rsidR="00EA2B48">
        <w:rPr>
          <w:rFonts w:cs="Arial"/>
          <w:sz w:val="52"/>
        </w:rPr>
        <w:t xml:space="preserve">(CRWIA) </w:t>
      </w:r>
    </w:p>
    <w:p w14:paraId="046CF9CB" w14:textId="4F42E04B" w:rsidR="00CA496F" w:rsidRPr="007618E5" w:rsidRDefault="00CA496F" w:rsidP="00992D86">
      <w:pPr>
        <w:rPr>
          <w:rFonts w:cs="Arial"/>
          <w:sz w:val="52"/>
        </w:rPr>
      </w:pPr>
      <w:r w:rsidRPr="007618E5">
        <w:rPr>
          <w:rFonts w:cs="Arial"/>
          <w:sz w:val="52"/>
        </w:rPr>
        <w:t xml:space="preserve">for </w:t>
      </w:r>
      <w:r w:rsidR="004C09F9">
        <w:rPr>
          <w:rFonts w:cs="Arial"/>
          <w:color w:val="2E74B5" w:themeColor="accent1" w:themeShade="BF"/>
          <w:sz w:val="52"/>
        </w:rPr>
        <w:t>Inverclyde Local Housing Strategy 2023-2028</w:t>
      </w:r>
    </w:p>
    <w:p w14:paraId="4045E926" w14:textId="77777777" w:rsidR="00AA3801" w:rsidRPr="000818EE" w:rsidRDefault="00AA3801" w:rsidP="00AA3801">
      <w:pPr>
        <w:rPr>
          <w:rFonts w:cs="Arial"/>
          <w:b/>
          <w:color w:val="FF0000"/>
          <w:sz w:val="72"/>
          <w:szCs w:val="72"/>
        </w:rPr>
      </w:pPr>
    </w:p>
    <w:p w14:paraId="550E2A59" w14:textId="77777777" w:rsidR="00AA3801" w:rsidRPr="000818EE" w:rsidRDefault="00AA3801" w:rsidP="00AA3801">
      <w:pPr>
        <w:rPr>
          <w:rFonts w:cs="Arial"/>
          <w:b/>
          <w:color w:val="FF0000"/>
          <w:sz w:val="72"/>
          <w:szCs w:val="72"/>
        </w:rPr>
      </w:pPr>
    </w:p>
    <w:p w14:paraId="1B7B867B" w14:textId="77777777" w:rsidR="00AA3801" w:rsidRPr="000818EE" w:rsidRDefault="00AA3801" w:rsidP="00AA3801">
      <w:pPr>
        <w:rPr>
          <w:rFonts w:cs="Arial"/>
          <w:b/>
          <w:color w:val="FF0000"/>
          <w:sz w:val="72"/>
          <w:szCs w:val="72"/>
        </w:rPr>
      </w:pPr>
    </w:p>
    <w:p w14:paraId="6CE2D09B" w14:textId="4BB7E7C2" w:rsidR="00AA3801" w:rsidRDefault="00AA3801" w:rsidP="00AA3801">
      <w:pPr>
        <w:rPr>
          <w:rFonts w:cs="Arial"/>
          <w:b/>
          <w:color w:val="FF0000"/>
          <w:sz w:val="72"/>
          <w:szCs w:val="72"/>
        </w:rPr>
      </w:pPr>
    </w:p>
    <w:p w14:paraId="6942DFA1" w14:textId="77777777" w:rsidR="00FC2661" w:rsidRPr="000818EE" w:rsidRDefault="00FC2661" w:rsidP="00AA3801">
      <w:pPr>
        <w:rPr>
          <w:rFonts w:cs="Arial"/>
          <w:b/>
          <w:color w:val="FF0000"/>
          <w:sz w:val="72"/>
          <w:szCs w:val="72"/>
        </w:rPr>
      </w:pPr>
    </w:p>
    <w:p w14:paraId="5469C5CA" w14:textId="4E7431AE" w:rsidR="00AA3801" w:rsidRPr="000818EE" w:rsidRDefault="00AA3801" w:rsidP="00AA3801">
      <w:pPr>
        <w:rPr>
          <w:rFonts w:cs="Arial"/>
          <w:b/>
          <w:color w:val="FF0000"/>
          <w:sz w:val="72"/>
          <w:szCs w:val="72"/>
        </w:rPr>
      </w:pPr>
    </w:p>
    <w:p w14:paraId="5AA2B5A1" w14:textId="59016A69" w:rsidR="000818EE" w:rsidRPr="000818EE" w:rsidRDefault="000818EE" w:rsidP="00AA3801">
      <w:pPr>
        <w:rPr>
          <w:rFonts w:cs="Arial"/>
          <w:b/>
          <w:color w:val="FF0000"/>
          <w:sz w:val="72"/>
          <w:szCs w:val="72"/>
        </w:rPr>
      </w:pPr>
    </w:p>
    <w:p w14:paraId="265C1224" w14:textId="4F75510C" w:rsidR="000818EE" w:rsidRDefault="000818EE" w:rsidP="00AA3801">
      <w:pPr>
        <w:rPr>
          <w:rFonts w:cs="Arial"/>
          <w:b/>
          <w:color w:val="FF0000"/>
          <w:sz w:val="72"/>
          <w:szCs w:val="72"/>
        </w:rPr>
      </w:pPr>
    </w:p>
    <w:p w14:paraId="7BD761AE" w14:textId="77777777" w:rsidR="00CA496F" w:rsidRPr="000818EE" w:rsidRDefault="00CA496F" w:rsidP="00AA3801">
      <w:pPr>
        <w:rPr>
          <w:rFonts w:cs="Arial"/>
          <w:b/>
          <w:color w:val="FF0000"/>
          <w:sz w:val="72"/>
          <w:szCs w:val="72"/>
        </w:rPr>
      </w:pPr>
    </w:p>
    <w:p w14:paraId="4A0458F9" w14:textId="1DC48D98" w:rsidR="00AA3801" w:rsidRPr="000818EE" w:rsidRDefault="00AA3801" w:rsidP="00AA3801">
      <w:pPr>
        <w:spacing w:after="160" w:line="259" w:lineRule="auto"/>
        <w:rPr>
          <w:rFonts w:cs="Arial"/>
        </w:rPr>
      </w:pPr>
    </w:p>
    <w:p w14:paraId="7856CACE" w14:textId="703F3A86" w:rsidR="000818EE" w:rsidRPr="000818EE" w:rsidRDefault="000818EE">
      <w:pPr>
        <w:spacing w:after="160" w:line="259" w:lineRule="auto"/>
        <w:rPr>
          <w:rFonts w:eastAsia="Times New Roman" w:cs="Arial"/>
          <w:b/>
          <w:sz w:val="44"/>
          <w:szCs w:val="24"/>
        </w:rPr>
      </w:pPr>
    </w:p>
    <w:p w14:paraId="6D1E5B53" w14:textId="04F3C68D" w:rsidR="0089791F" w:rsidRPr="00273771" w:rsidRDefault="001C5A79">
      <w:pPr>
        <w:pStyle w:val="Heading1"/>
        <w:rPr>
          <w:rFonts w:ascii="Arial" w:eastAsiaTheme="minorHAnsi" w:hAnsi="Arial" w:cstheme="minorBidi"/>
          <w:color w:val="auto"/>
          <w:sz w:val="24"/>
          <w:szCs w:val="22"/>
        </w:rPr>
      </w:pPr>
      <w:r w:rsidRPr="00273771">
        <w:rPr>
          <w:rFonts w:ascii="Arial" w:hAnsi="Arial" w:cs="Arial"/>
        </w:rPr>
        <w:lastRenderedPageBreak/>
        <w:t>Introduction</w:t>
      </w:r>
      <w:r w:rsidR="00EA2B48" w:rsidRPr="00273771">
        <w:rPr>
          <w:rFonts w:ascii="Arial" w:eastAsia="Times New Roman" w:hAnsi="Arial" w:cs="Arial"/>
        </w:rPr>
        <w:t xml:space="preserve"> </w:t>
      </w:r>
    </w:p>
    <w:p w14:paraId="190492E0" w14:textId="39563BE1" w:rsidR="00EA2B48" w:rsidRDefault="00EA2B48" w:rsidP="00F91444">
      <w:pPr>
        <w:spacing w:before="240"/>
        <w:rPr>
          <w:sz w:val="24"/>
        </w:rPr>
      </w:pPr>
      <w:r w:rsidRPr="00074FDF">
        <w:rPr>
          <w:sz w:val="24"/>
        </w:rPr>
        <w:t>As set out in Part 1 of the Children and Young People (Scotland) Act 2014, Scottish Ministers must keep under consideration whether there are any steps which they could take which would or might secure better or further effect in Scotland of the UNCRC requirements, and</w:t>
      </w:r>
      <w:r>
        <w:rPr>
          <w:sz w:val="24"/>
        </w:rPr>
        <w:t xml:space="preserve"> </w:t>
      </w:r>
      <w:r w:rsidRPr="00074FDF">
        <w:rPr>
          <w:sz w:val="24"/>
        </w:rPr>
        <w:t>if they consider it appropriate to do so, take any of the steps identified by that consideration.</w:t>
      </w:r>
      <w:r>
        <w:rPr>
          <w:sz w:val="24"/>
        </w:rPr>
        <w:t xml:space="preserve"> </w:t>
      </w:r>
      <w:r w:rsidRPr="00273771">
        <w:rPr>
          <w:sz w:val="24"/>
        </w:rPr>
        <w:t xml:space="preserve">Undertaking a CRWIA helps Ministers to fulfil this duty. </w:t>
      </w:r>
    </w:p>
    <w:p w14:paraId="71FE4511" w14:textId="5B263F9F" w:rsidR="00EB5BA8" w:rsidRDefault="00EA2B48" w:rsidP="00EB5BA8">
      <w:pPr>
        <w:rPr>
          <w:rFonts w:cs="Arial"/>
          <w:sz w:val="24"/>
        </w:rPr>
      </w:pPr>
      <w:r>
        <w:rPr>
          <w:rFonts w:cs="Arial"/>
          <w:sz w:val="24"/>
        </w:rPr>
        <w:t>T</w:t>
      </w:r>
      <w:r w:rsidR="003C0EDD">
        <w:rPr>
          <w:rFonts w:cs="Arial"/>
          <w:sz w:val="24"/>
        </w:rPr>
        <w:t xml:space="preserve">here are </w:t>
      </w:r>
      <w:r>
        <w:rPr>
          <w:rFonts w:cs="Arial"/>
          <w:sz w:val="24"/>
        </w:rPr>
        <w:t xml:space="preserve">two </w:t>
      </w:r>
      <w:r w:rsidR="003C0EDD">
        <w:rPr>
          <w:rFonts w:cs="Arial"/>
          <w:sz w:val="24"/>
        </w:rPr>
        <w:t>key c</w:t>
      </w:r>
      <w:r w:rsidR="0086169C">
        <w:rPr>
          <w:rFonts w:cs="Arial"/>
          <w:sz w:val="24"/>
        </w:rPr>
        <w:t xml:space="preserve">onsiderations </w:t>
      </w:r>
      <w:r>
        <w:rPr>
          <w:rFonts w:cs="Arial"/>
          <w:sz w:val="24"/>
        </w:rPr>
        <w:t>when undertak</w:t>
      </w:r>
      <w:r w:rsidR="0086169C">
        <w:rPr>
          <w:rFonts w:cs="Arial"/>
          <w:sz w:val="24"/>
        </w:rPr>
        <w:t>ing a CRWIA:</w:t>
      </w:r>
      <w:r w:rsidR="0086169C" w:rsidRPr="000818EE">
        <w:rPr>
          <w:rFonts w:cs="Arial"/>
          <w:sz w:val="24"/>
        </w:rPr>
        <w:t xml:space="preserve"> </w:t>
      </w:r>
    </w:p>
    <w:p w14:paraId="7A481D94" w14:textId="7FE4025F" w:rsidR="00EB5BA8" w:rsidRDefault="00C037DC" w:rsidP="00EB5BA8">
      <w:pPr>
        <w:rPr>
          <w:rFonts w:cs="Arial"/>
          <w:sz w:val="24"/>
        </w:rPr>
      </w:pPr>
      <w:r>
        <w:rPr>
          <w:rFonts w:cs="Arial"/>
          <w:sz w:val="24"/>
        </w:rPr>
        <w:t xml:space="preserve">Participation: </w:t>
      </w:r>
      <w:r w:rsidR="00EA2B48">
        <w:rPr>
          <w:rFonts w:cs="Arial"/>
          <w:sz w:val="24"/>
        </w:rPr>
        <w:t>The United Nations Convention on the Right of the Child (UNCRC) sets out that</w:t>
      </w:r>
      <w:r>
        <w:rPr>
          <w:rFonts w:cs="Arial"/>
          <w:sz w:val="24"/>
        </w:rPr>
        <w:t xml:space="preserve"> children ha</w:t>
      </w:r>
      <w:r w:rsidR="00EA2B48">
        <w:rPr>
          <w:rFonts w:cs="Arial"/>
          <w:sz w:val="24"/>
        </w:rPr>
        <w:t>ve</w:t>
      </w:r>
      <w:r>
        <w:rPr>
          <w:rFonts w:cs="Arial"/>
          <w:sz w:val="24"/>
        </w:rPr>
        <w:t xml:space="preserve"> the right to participate in decisions which affect them. </w:t>
      </w:r>
      <w:r w:rsidR="00EA2B48">
        <w:rPr>
          <w:rFonts w:cs="Arial"/>
          <w:sz w:val="24"/>
        </w:rPr>
        <w:t>When assessing the impacts of the policy/measure, y</w:t>
      </w:r>
      <w:r>
        <w:rPr>
          <w:rFonts w:cs="Arial"/>
          <w:sz w:val="24"/>
        </w:rPr>
        <w:t>ou</w:t>
      </w:r>
      <w:r w:rsidR="00EA2B48">
        <w:rPr>
          <w:rFonts w:cs="Arial"/>
          <w:sz w:val="24"/>
        </w:rPr>
        <w:t xml:space="preserve"> are recommended </w:t>
      </w:r>
      <w:r w:rsidR="00F54759">
        <w:rPr>
          <w:rFonts w:cs="Arial"/>
          <w:sz w:val="24"/>
        </w:rPr>
        <w:t>to consult</w:t>
      </w:r>
      <w:r>
        <w:rPr>
          <w:rFonts w:cs="Arial"/>
          <w:sz w:val="24"/>
        </w:rPr>
        <w:t xml:space="preserve"> with children </w:t>
      </w:r>
      <w:r w:rsidR="00EA2B48">
        <w:rPr>
          <w:rFonts w:cs="Arial"/>
          <w:sz w:val="24"/>
        </w:rPr>
        <w:t>and</w:t>
      </w:r>
      <w:r>
        <w:rPr>
          <w:rFonts w:cs="Arial"/>
          <w:sz w:val="24"/>
        </w:rPr>
        <w:t xml:space="preserve"> young </w:t>
      </w:r>
      <w:r w:rsidR="00EA2B48">
        <w:rPr>
          <w:rFonts w:cs="Arial"/>
          <w:sz w:val="24"/>
        </w:rPr>
        <w:t xml:space="preserve">people. You can do this </w:t>
      </w:r>
      <w:r>
        <w:rPr>
          <w:rFonts w:cs="Arial"/>
          <w:sz w:val="24"/>
        </w:rPr>
        <w:t>directly</w:t>
      </w:r>
      <w:r w:rsidR="00EA2B48">
        <w:rPr>
          <w:rFonts w:cs="Arial"/>
          <w:sz w:val="24"/>
        </w:rPr>
        <w:t xml:space="preserve">, </w:t>
      </w:r>
      <w:r>
        <w:rPr>
          <w:rFonts w:cs="Arial"/>
          <w:sz w:val="24"/>
        </w:rPr>
        <w:t>through organisations</w:t>
      </w:r>
      <w:r w:rsidR="00EB5BA8">
        <w:rPr>
          <w:rFonts w:cs="Arial"/>
          <w:sz w:val="24"/>
        </w:rPr>
        <w:t xml:space="preserve"> that represent </w:t>
      </w:r>
      <w:r w:rsidR="00EA2B48">
        <w:rPr>
          <w:rFonts w:cs="Arial"/>
          <w:sz w:val="24"/>
        </w:rPr>
        <w:t xml:space="preserve">children and young people or through using existing evidence on the views </w:t>
      </w:r>
      <w:r w:rsidR="0050408F" w:rsidRPr="00C037DC">
        <w:rPr>
          <w:rFonts w:cs="Arial"/>
          <w:sz w:val="24"/>
        </w:rPr>
        <w:t xml:space="preserve">and experiences </w:t>
      </w:r>
      <w:r w:rsidR="00EA2B48">
        <w:rPr>
          <w:rFonts w:cs="Arial"/>
          <w:sz w:val="24"/>
        </w:rPr>
        <w:t xml:space="preserve">of children </w:t>
      </w:r>
      <w:r w:rsidR="00273771">
        <w:rPr>
          <w:rFonts w:cs="Arial"/>
          <w:sz w:val="24"/>
        </w:rPr>
        <w:t>where</w:t>
      </w:r>
      <w:r w:rsidR="00EA2B48">
        <w:rPr>
          <w:rFonts w:cs="Arial"/>
          <w:sz w:val="24"/>
        </w:rPr>
        <w:t xml:space="preserve"> relevant</w:t>
      </w:r>
      <w:r>
        <w:rPr>
          <w:rFonts w:cs="Arial"/>
          <w:sz w:val="24"/>
        </w:rPr>
        <w:t xml:space="preserve">. </w:t>
      </w:r>
      <w:r w:rsidRPr="00C037DC">
        <w:rPr>
          <w:rFonts w:cs="Arial"/>
          <w:sz w:val="24"/>
        </w:rPr>
        <w:t xml:space="preserve">Participation </w:t>
      </w:r>
      <w:r w:rsidR="00EA2B48">
        <w:rPr>
          <w:rFonts w:cs="Arial"/>
          <w:sz w:val="24"/>
        </w:rPr>
        <w:t>of children and young people should</w:t>
      </w:r>
      <w:r w:rsidR="00EA2B48" w:rsidRPr="00C037DC">
        <w:rPr>
          <w:rFonts w:cs="Arial"/>
          <w:sz w:val="24"/>
        </w:rPr>
        <w:t xml:space="preserve"> </w:t>
      </w:r>
      <w:r w:rsidRPr="00C037DC">
        <w:rPr>
          <w:rFonts w:cs="Arial"/>
          <w:sz w:val="24"/>
        </w:rPr>
        <w:t>be meaningful</w:t>
      </w:r>
      <w:r>
        <w:rPr>
          <w:rFonts w:cs="Arial"/>
          <w:sz w:val="24"/>
        </w:rPr>
        <w:t xml:space="preserve"> and accessible</w:t>
      </w:r>
      <w:r w:rsidRPr="00C037DC">
        <w:rPr>
          <w:rFonts w:cs="Arial"/>
          <w:sz w:val="24"/>
        </w:rPr>
        <w:t>.</w:t>
      </w:r>
    </w:p>
    <w:p w14:paraId="2A13E76C" w14:textId="26169980" w:rsidR="00273771" w:rsidRDefault="00C037DC" w:rsidP="00EB5BA8">
      <w:pPr>
        <w:rPr>
          <w:sz w:val="24"/>
        </w:rPr>
      </w:pPr>
      <w:r>
        <w:rPr>
          <w:rFonts w:cs="Arial"/>
          <w:sz w:val="24"/>
        </w:rPr>
        <w:t xml:space="preserve">Evidence: </w:t>
      </w:r>
      <w:r w:rsidR="00EA2B48">
        <w:rPr>
          <w:rFonts w:cs="Arial"/>
          <w:sz w:val="24"/>
        </w:rPr>
        <w:t>You are recommended t</w:t>
      </w:r>
      <w:r w:rsidR="003C0EDD" w:rsidRPr="00C037DC">
        <w:rPr>
          <w:rFonts w:cs="Arial"/>
          <w:sz w:val="24"/>
        </w:rPr>
        <w:t xml:space="preserve">o gather evidence </w:t>
      </w:r>
      <w:r w:rsidR="00EA2B48">
        <w:rPr>
          <w:rFonts w:cs="Arial"/>
          <w:sz w:val="24"/>
        </w:rPr>
        <w:t xml:space="preserve">when assessing the impact of </w:t>
      </w:r>
      <w:r w:rsidR="00EB5BA8">
        <w:rPr>
          <w:rFonts w:cs="Arial"/>
          <w:sz w:val="24"/>
        </w:rPr>
        <w:t>th</w:t>
      </w:r>
      <w:r w:rsidR="00EA2B48">
        <w:rPr>
          <w:rFonts w:cs="Arial"/>
          <w:sz w:val="24"/>
        </w:rPr>
        <w:t>e</w:t>
      </w:r>
      <w:r w:rsidR="00EB5BA8">
        <w:rPr>
          <w:rFonts w:cs="Arial"/>
          <w:sz w:val="24"/>
        </w:rPr>
        <w:t xml:space="preserve"> policy/measure </w:t>
      </w:r>
      <w:r w:rsidR="00EA2B48">
        <w:rPr>
          <w:rFonts w:cs="Arial"/>
          <w:sz w:val="24"/>
        </w:rPr>
        <w:t xml:space="preserve">on children’s rights and </w:t>
      </w:r>
      <w:r w:rsidR="00EB5BA8">
        <w:rPr>
          <w:rFonts w:cs="Arial"/>
          <w:sz w:val="24"/>
        </w:rPr>
        <w:t xml:space="preserve">also for measuring </w:t>
      </w:r>
      <w:r w:rsidR="00EA2B48">
        <w:rPr>
          <w:rFonts w:cs="Arial"/>
          <w:sz w:val="24"/>
        </w:rPr>
        <w:t>and</w:t>
      </w:r>
      <w:r w:rsidR="00EB5BA8">
        <w:rPr>
          <w:rFonts w:cs="Arial"/>
          <w:sz w:val="24"/>
        </w:rPr>
        <w:t xml:space="preserve"> evaluating</w:t>
      </w:r>
      <w:r w:rsidR="003C0EDD" w:rsidRPr="00C037DC">
        <w:rPr>
          <w:rFonts w:cs="Arial"/>
          <w:sz w:val="24"/>
        </w:rPr>
        <w:t xml:space="preserve"> th</w:t>
      </w:r>
      <w:r w:rsidR="00EA2B48">
        <w:rPr>
          <w:rFonts w:cs="Arial"/>
          <w:sz w:val="24"/>
        </w:rPr>
        <w:t>e</w:t>
      </w:r>
      <w:r w:rsidR="003C0EDD" w:rsidRPr="00C037DC">
        <w:rPr>
          <w:rFonts w:cs="Arial"/>
          <w:sz w:val="24"/>
        </w:rPr>
        <w:t xml:space="preserve"> policy/measure. </w:t>
      </w:r>
      <w:r w:rsidR="00EA2B48">
        <w:rPr>
          <w:rFonts w:cs="Arial"/>
          <w:sz w:val="24"/>
        </w:rPr>
        <w:t>If you i</w:t>
      </w:r>
      <w:r w:rsidR="0089791F" w:rsidRPr="00C037DC">
        <w:rPr>
          <w:rFonts w:cs="Arial"/>
          <w:sz w:val="24"/>
        </w:rPr>
        <w:t>dentify any</w:t>
      </w:r>
      <w:r w:rsidR="0086169C" w:rsidRPr="00C037DC">
        <w:rPr>
          <w:rFonts w:cs="Arial"/>
          <w:sz w:val="24"/>
        </w:rPr>
        <w:t xml:space="preserve"> gaps in the evidence base, </w:t>
      </w:r>
      <w:r w:rsidR="00EA2B48">
        <w:rPr>
          <w:rFonts w:cs="Arial"/>
          <w:sz w:val="24"/>
        </w:rPr>
        <w:t>you can</w:t>
      </w:r>
      <w:r w:rsidR="00EA2B48">
        <w:t xml:space="preserve"> </w:t>
      </w:r>
      <w:r w:rsidR="0086169C" w:rsidRPr="00C037DC">
        <w:rPr>
          <w:sz w:val="24"/>
        </w:rPr>
        <w:t>discuss</w:t>
      </w:r>
      <w:r w:rsidR="00EA2B48">
        <w:rPr>
          <w:sz w:val="24"/>
        </w:rPr>
        <w:t xml:space="preserve"> </w:t>
      </w:r>
      <w:r w:rsidR="00EA2B48" w:rsidRPr="00C037DC">
        <w:rPr>
          <w:sz w:val="24"/>
        </w:rPr>
        <w:t xml:space="preserve">how you will address </w:t>
      </w:r>
      <w:r w:rsidR="00EA2B48">
        <w:rPr>
          <w:sz w:val="24"/>
        </w:rPr>
        <w:t>these</w:t>
      </w:r>
      <w:r w:rsidR="0086169C" w:rsidRPr="00C037DC">
        <w:rPr>
          <w:sz w:val="24"/>
        </w:rPr>
        <w:t xml:space="preserve"> with analytical colleagues</w:t>
      </w:r>
      <w:r w:rsidR="00EB5BA8">
        <w:rPr>
          <w:sz w:val="24"/>
        </w:rPr>
        <w:t>.</w:t>
      </w:r>
      <w:r>
        <w:rPr>
          <w:sz w:val="24"/>
        </w:rPr>
        <w:t xml:space="preserve"> </w:t>
      </w:r>
    </w:p>
    <w:p w14:paraId="21C6174C" w14:textId="77777777" w:rsidR="00F54759" w:rsidRDefault="00F54759" w:rsidP="00EB5BA8">
      <w:pPr>
        <w:rPr>
          <w:sz w:val="24"/>
        </w:rPr>
        <w:sectPr w:rsidR="00F54759" w:rsidSect="000818EE">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p w14:paraId="60189BCB" w14:textId="2B1E8032" w:rsidR="0089791F" w:rsidRPr="000818EE" w:rsidRDefault="004160DB">
      <w:pPr>
        <w:pStyle w:val="Heading1"/>
        <w:rPr>
          <w:rFonts w:eastAsia="Times New Roman"/>
        </w:rPr>
      </w:pPr>
      <w:r w:rsidRPr="00273771">
        <w:rPr>
          <w:rFonts w:cs="Arial"/>
        </w:rPr>
        <w:lastRenderedPageBreak/>
        <w:t>1</w:t>
      </w:r>
      <w:r w:rsidR="0089791F" w:rsidRPr="00273771">
        <w:rPr>
          <w:rFonts w:cs="Arial"/>
        </w:rPr>
        <w:t xml:space="preserve">. </w:t>
      </w:r>
      <w:r w:rsidR="00EA2B48" w:rsidRPr="00273771">
        <w:rPr>
          <w:rFonts w:ascii="Arial" w:hAnsi="Arial" w:cs="Arial"/>
        </w:rPr>
        <w:t xml:space="preserve"> Which articles of the UNCRC does this policy/measure impact on?</w:t>
      </w:r>
    </w:p>
    <w:p w14:paraId="4DA92DC4" w14:textId="7A22218A" w:rsidR="005C6F61" w:rsidRDefault="005C6F61" w:rsidP="005C6F61">
      <w:pPr>
        <w:rPr>
          <w:rFonts w:cs="Arial"/>
          <w:sz w:val="24"/>
        </w:rPr>
      </w:pPr>
      <w:r w:rsidRPr="005C6F61">
        <w:rPr>
          <w:rFonts w:cs="Arial"/>
          <w:sz w:val="24"/>
        </w:rPr>
        <w:t>List all relevant Articles of the UNCRC and Optional Protocols. All UNCRC rights are underpinned by</w:t>
      </w:r>
      <w:r>
        <w:rPr>
          <w:rFonts w:cs="Arial"/>
          <w:sz w:val="24"/>
        </w:rPr>
        <w:t xml:space="preserve"> </w:t>
      </w:r>
      <w:r w:rsidRPr="005C6F61">
        <w:rPr>
          <w:rFonts w:cs="Arial"/>
          <w:sz w:val="24"/>
        </w:rPr>
        <w:t>the four general principles: non-discrimination; the best interests of the child; the right to life, survival</w:t>
      </w:r>
      <w:r>
        <w:rPr>
          <w:rFonts w:cs="Arial"/>
          <w:sz w:val="24"/>
        </w:rPr>
        <w:t xml:space="preserve"> </w:t>
      </w:r>
      <w:r w:rsidRPr="005C6F61">
        <w:rPr>
          <w:rFonts w:cs="Arial"/>
          <w:sz w:val="24"/>
        </w:rPr>
        <w:t>and development; and the child’s right to have their views given due weight.</w:t>
      </w:r>
    </w:p>
    <w:p w14:paraId="0A6DB2FB" w14:textId="111B4A69" w:rsidR="00073B09" w:rsidRDefault="00073B09" w:rsidP="005C6F61">
      <w:pPr>
        <w:rPr>
          <w:rFonts w:cs="Arial"/>
          <w:sz w:val="24"/>
        </w:rPr>
      </w:pPr>
      <w:r>
        <w:rPr>
          <w:rFonts w:cs="Arial"/>
          <w:sz w:val="24"/>
        </w:rPr>
        <w:t>The relevant a</w:t>
      </w:r>
      <w:r w:rsidRPr="00073B09">
        <w:rPr>
          <w:rFonts w:cs="Arial"/>
          <w:sz w:val="24"/>
        </w:rPr>
        <w:t>rticles of the UNCRC</w:t>
      </w:r>
      <w:r>
        <w:rPr>
          <w:rFonts w:cs="Arial"/>
          <w:sz w:val="24"/>
        </w:rPr>
        <w:t xml:space="preserve"> to</w:t>
      </w:r>
      <w:r w:rsidRPr="00073B09">
        <w:rPr>
          <w:rFonts w:cs="Arial"/>
          <w:sz w:val="24"/>
        </w:rPr>
        <w:t xml:space="preserve"> </w:t>
      </w:r>
      <w:r>
        <w:rPr>
          <w:rFonts w:cs="Arial"/>
          <w:sz w:val="24"/>
        </w:rPr>
        <w:t>the Inverclyde Local Housing Strategy (LHS) 2023-2028 are as follows:</w:t>
      </w:r>
    </w:p>
    <w:p w14:paraId="73C57B33" w14:textId="3EE7620C" w:rsidR="001952F6" w:rsidRPr="005C6F61" w:rsidRDefault="001952F6" w:rsidP="005C6F61">
      <w:pPr>
        <w:rPr>
          <w:rFonts w:cs="Arial"/>
          <w:sz w:val="24"/>
        </w:rPr>
      </w:pPr>
      <w:r w:rsidRPr="001952F6">
        <w:rPr>
          <w:sz w:val="24"/>
        </w:rPr>
        <w:t>Article 2 Non-discrimination</w:t>
      </w:r>
    </w:p>
    <w:p w14:paraId="7A144A83" w14:textId="77777777" w:rsidR="001952F6" w:rsidRPr="001952F6" w:rsidRDefault="001952F6" w:rsidP="001952F6">
      <w:pPr>
        <w:rPr>
          <w:sz w:val="24"/>
        </w:rPr>
      </w:pPr>
      <w:r w:rsidRPr="001952F6">
        <w:rPr>
          <w:sz w:val="24"/>
        </w:rPr>
        <w:t>Article 3 Best interests of the child</w:t>
      </w:r>
    </w:p>
    <w:p w14:paraId="777B6E82" w14:textId="77777777" w:rsidR="001952F6" w:rsidRPr="001952F6" w:rsidRDefault="001952F6" w:rsidP="001952F6">
      <w:pPr>
        <w:rPr>
          <w:sz w:val="24"/>
        </w:rPr>
      </w:pPr>
      <w:r w:rsidRPr="001952F6">
        <w:rPr>
          <w:sz w:val="24"/>
        </w:rPr>
        <w:t>Article 5 Parental guidance and a child’s evolving capacities</w:t>
      </w:r>
    </w:p>
    <w:p w14:paraId="554B7938" w14:textId="77777777" w:rsidR="001952F6" w:rsidRPr="001952F6" w:rsidRDefault="001952F6" w:rsidP="001952F6">
      <w:pPr>
        <w:rPr>
          <w:sz w:val="24"/>
        </w:rPr>
      </w:pPr>
      <w:r w:rsidRPr="001952F6">
        <w:rPr>
          <w:sz w:val="24"/>
        </w:rPr>
        <w:t>Article 6 Life, survival and development</w:t>
      </w:r>
    </w:p>
    <w:p w14:paraId="147EB6BE" w14:textId="77777777" w:rsidR="001952F6" w:rsidRPr="001952F6" w:rsidRDefault="001952F6" w:rsidP="001952F6">
      <w:pPr>
        <w:rPr>
          <w:sz w:val="24"/>
        </w:rPr>
      </w:pPr>
      <w:r w:rsidRPr="001952F6">
        <w:rPr>
          <w:sz w:val="24"/>
        </w:rPr>
        <w:t>Article 10 Family reunification</w:t>
      </w:r>
    </w:p>
    <w:p w14:paraId="5C3561BA" w14:textId="77777777" w:rsidR="001952F6" w:rsidRPr="001952F6" w:rsidRDefault="001952F6" w:rsidP="001952F6">
      <w:pPr>
        <w:rPr>
          <w:sz w:val="24"/>
        </w:rPr>
      </w:pPr>
      <w:r w:rsidRPr="001952F6">
        <w:rPr>
          <w:sz w:val="24"/>
        </w:rPr>
        <w:t xml:space="preserve">Article 12 Respect for the views of the child </w:t>
      </w:r>
    </w:p>
    <w:p w14:paraId="6F946D95" w14:textId="77777777" w:rsidR="001952F6" w:rsidRPr="001952F6" w:rsidRDefault="001952F6" w:rsidP="001952F6">
      <w:pPr>
        <w:rPr>
          <w:sz w:val="24"/>
        </w:rPr>
      </w:pPr>
      <w:r w:rsidRPr="001952F6">
        <w:rPr>
          <w:sz w:val="24"/>
        </w:rPr>
        <w:t>Article 16 Right to privacy</w:t>
      </w:r>
    </w:p>
    <w:p w14:paraId="2C3CF281" w14:textId="77777777" w:rsidR="001952F6" w:rsidRPr="001952F6" w:rsidRDefault="001952F6" w:rsidP="001952F6">
      <w:pPr>
        <w:rPr>
          <w:sz w:val="24"/>
        </w:rPr>
      </w:pPr>
      <w:r w:rsidRPr="001952F6">
        <w:rPr>
          <w:sz w:val="24"/>
        </w:rPr>
        <w:t>Article 18(1,2) Parental responsibilities and state assistance</w:t>
      </w:r>
    </w:p>
    <w:p w14:paraId="392FFEA1" w14:textId="77777777" w:rsidR="001952F6" w:rsidRPr="001952F6" w:rsidRDefault="001952F6" w:rsidP="001952F6">
      <w:pPr>
        <w:rPr>
          <w:sz w:val="24"/>
        </w:rPr>
      </w:pPr>
      <w:r w:rsidRPr="001952F6">
        <w:rPr>
          <w:sz w:val="24"/>
        </w:rPr>
        <w:t>Article 18(3) Parental responsibilities and state assistance</w:t>
      </w:r>
    </w:p>
    <w:p w14:paraId="01483012" w14:textId="77777777" w:rsidR="001952F6" w:rsidRPr="001952F6" w:rsidRDefault="001952F6" w:rsidP="001952F6">
      <w:pPr>
        <w:rPr>
          <w:sz w:val="24"/>
        </w:rPr>
      </w:pPr>
      <w:r w:rsidRPr="001952F6">
        <w:rPr>
          <w:sz w:val="24"/>
        </w:rPr>
        <w:t>Article 19 Protection from all forms of violence</w:t>
      </w:r>
    </w:p>
    <w:p w14:paraId="4968E440" w14:textId="77777777" w:rsidR="001952F6" w:rsidRPr="001952F6" w:rsidRDefault="001952F6" w:rsidP="001952F6">
      <w:pPr>
        <w:rPr>
          <w:sz w:val="24"/>
        </w:rPr>
      </w:pPr>
      <w:r w:rsidRPr="001952F6">
        <w:rPr>
          <w:sz w:val="24"/>
        </w:rPr>
        <w:t>Article 22 Refugee children</w:t>
      </w:r>
    </w:p>
    <w:p w14:paraId="5809508E" w14:textId="77777777" w:rsidR="001952F6" w:rsidRPr="001952F6" w:rsidRDefault="001952F6" w:rsidP="001952F6">
      <w:pPr>
        <w:rPr>
          <w:sz w:val="24"/>
        </w:rPr>
      </w:pPr>
      <w:r w:rsidRPr="001952F6">
        <w:rPr>
          <w:sz w:val="24"/>
        </w:rPr>
        <w:t>Article 23 Children with disabilities</w:t>
      </w:r>
    </w:p>
    <w:p w14:paraId="78642CB4" w14:textId="77777777" w:rsidR="001952F6" w:rsidRPr="001952F6" w:rsidRDefault="001952F6" w:rsidP="001952F6">
      <w:pPr>
        <w:rPr>
          <w:sz w:val="24"/>
        </w:rPr>
      </w:pPr>
      <w:r w:rsidRPr="001952F6">
        <w:rPr>
          <w:sz w:val="24"/>
        </w:rPr>
        <w:t>Article 24 Health and health services</w:t>
      </w:r>
    </w:p>
    <w:p w14:paraId="3613DC6B" w14:textId="77777777" w:rsidR="001952F6" w:rsidRPr="001952F6" w:rsidRDefault="001952F6" w:rsidP="001952F6">
      <w:pPr>
        <w:rPr>
          <w:sz w:val="24"/>
        </w:rPr>
      </w:pPr>
      <w:r w:rsidRPr="001952F6">
        <w:rPr>
          <w:sz w:val="24"/>
        </w:rPr>
        <w:t>Article 27(1-3) Adequate standard of living</w:t>
      </w:r>
    </w:p>
    <w:p w14:paraId="32FBC56C" w14:textId="77777777" w:rsidR="001952F6" w:rsidRPr="001952F6" w:rsidRDefault="001952F6" w:rsidP="001952F6">
      <w:pPr>
        <w:rPr>
          <w:sz w:val="24"/>
        </w:rPr>
      </w:pPr>
      <w:r w:rsidRPr="001952F6">
        <w:rPr>
          <w:sz w:val="24"/>
        </w:rPr>
        <w:t>Article 30 Children of minorities/indigenous groups</w:t>
      </w:r>
    </w:p>
    <w:p w14:paraId="7FD17DD2" w14:textId="77777777" w:rsidR="001952F6" w:rsidRPr="001952F6" w:rsidRDefault="001952F6" w:rsidP="001952F6">
      <w:pPr>
        <w:rPr>
          <w:sz w:val="24"/>
        </w:rPr>
      </w:pPr>
      <w:r w:rsidRPr="001952F6">
        <w:rPr>
          <w:sz w:val="24"/>
        </w:rPr>
        <w:t>Article 31 Leisure, play and culture</w:t>
      </w:r>
    </w:p>
    <w:p w14:paraId="156B5C1B" w14:textId="6E4D9603" w:rsidR="001952F6" w:rsidRDefault="001952F6" w:rsidP="00B2484A">
      <w:pPr>
        <w:rPr>
          <w:sz w:val="24"/>
        </w:rPr>
      </w:pPr>
      <w:r w:rsidRPr="001952F6">
        <w:rPr>
          <w:sz w:val="24"/>
        </w:rPr>
        <w:t>Article 39 Recovery and rehabilitation of child victims</w:t>
      </w:r>
    </w:p>
    <w:p w14:paraId="344B02F8" w14:textId="77777777" w:rsidR="00273771" w:rsidRDefault="00273771" w:rsidP="00B2484A">
      <w:pPr>
        <w:rPr>
          <w:sz w:val="24"/>
        </w:rPr>
      </w:pPr>
    </w:p>
    <w:p w14:paraId="39448819" w14:textId="591DCA9D" w:rsidR="0089791F" w:rsidRPr="00273771" w:rsidRDefault="0089791F" w:rsidP="00273771">
      <w:pPr>
        <w:pStyle w:val="Heading1"/>
        <w:rPr>
          <w:rFonts w:ascii="Arial" w:eastAsia="Times New Roman" w:hAnsi="Arial" w:cs="Arial"/>
        </w:rPr>
      </w:pPr>
      <w:r w:rsidRPr="00472A69">
        <w:rPr>
          <w:rFonts w:ascii="Arial" w:eastAsia="Times New Roman" w:hAnsi="Arial" w:cs="Arial"/>
        </w:rPr>
        <w:t>2</w:t>
      </w:r>
      <w:r w:rsidR="00EA2B48" w:rsidRPr="00472A69">
        <w:rPr>
          <w:rFonts w:ascii="Arial" w:eastAsia="Times New Roman" w:hAnsi="Arial" w:cs="Arial"/>
        </w:rPr>
        <w:t>.</w:t>
      </w:r>
      <w:r w:rsidRPr="00472A69">
        <w:rPr>
          <w:rFonts w:ascii="Arial" w:eastAsia="Times New Roman" w:hAnsi="Arial" w:cs="Arial"/>
        </w:rPr>
        <w:t xml:space="preserve"> </w:t>
      </w:r>
      <w:r w:rsidR="00EA2B48" w:rsidRPr="00472A69">
        <w:rPr>
          <w:rFonts w:ascii="Arial" w:eastAsia="Times New Roman" w:hAnsi="Arial" w:cs="Arial"/>
        </w:rPr>
        <w:t xml:space="preserve">What impact will your policy/measure have on children’s </w:t>
      </w:r>
      <w:r w:rsidR="00EA2B48" w:rsidRPr="00273771">
        <w:rPr>
          <w:rFonts w:ascii="Arial" w:eastAsia="Times New Roman" w:hAnsi="Arial" w:cs="Arial"/>
        </w:rPr>
        <w:t>rights?</w:t>
      </w:r>
    </w:p>
    <w:p w14:paraId="7B78A23F" w14:textId="2DF57A2D" w:rsidR="00354DD7" w:rsidRPr="00354DD7" w:rsidRDefault="004C09F9" w:rsidP="00F91444">
      <w:pPr>
        <w:spacing w:before="240"/>
        <w:rPr>
          <w:rFonts w:cs="Arial"/>
          <w:sz w:val="24"/>
        </w:rPr>
      </w:pPr>
      <w:r w:rsidRPr="004C09F9">
        <w:rPr>
          <w:rFonts w:cs="Arial"/>
          <w:sz w:val="24"/>
        </w:rPr>
        <w:t>The L</w:t>
      </w:r>
      <w:r>
        <w:rPr>
          <w:rFonts w:cs="Arial"/>
          <w:sz w:val="24"/>
        </w:rPr>
        <w:t xml:space="preserve">ocal Housing Strategy </w:t>
      </w:r>
      <w:r w:rsidRPr="004C09F9">
        <w:rPr>
          <w:rFonts w:cs="Arial"/>
          <w:sz w:val="24"/>
        </w:rPr>
        <w:t xml:space="preserve">intention is to improve housing and housing related services in </w:t>
      </w:r>
      <w:r>
        <w:rPr>
          <w:rFonts w:cs="Arial"/>
          <w:sz w:val="24"/>
        </w:rPr>
        <w:t>Inverclyde</w:t>
      </w:r>
      <w:r w:rsidR="00354DD7">
        <w:rPr>
          <w:rFonts w:cs="Arial"/>
          <w:sz w:val="24"/>
        </w:rPr>
        <w:t>. T</w:t>
      </w:r>
      <w:r w:rsidR="00354DD7" w:rsidRPr="00354DD7">
        <w:rPr>
          <w:rFonts w:cs="Arial"/>
          <w:sz w:val="24"/>
        </w:rPr>
        <w:t xml:space="preserve">he development of the new Local Housing Strategy is likely to have a positive impact on all children and young people in Inverclyde irrespective of any protected characteristic. </w:t>
      </w:r>
      <w:r w:rsidR="00354DD7">
        <w:rPr>
          <w:rFonts w:cs="Arial"/>
          <w:sz w:val="24"/>
        </w:rPr>
        <w:t>Housing plays a</w:t>
      </w:r>
      <w:r w:rsidR="00354DD7" w:rsidRPr="00354DD7">
        <w:rPr>
          <w:rFonts w:cs="Arial"/>
          <w:sz w:val="24"/>
        </w:rPr>
        <w:t xml:space="preserve"> key role in safeguarding, supporting and promoting the wellbeing of children through the delivery of:</w:t>
      </w:r>
    </w:p>
    <w:p w14:paraId="5DF545FE" w14:textId="77777777" w:rsidR="00354DD7" w:rsidRPr="00354DD7" w:rsidRDefault="00354DD7" w:rsidP="00354DD7">
      <w:pPr>
        <w:pStyle w:val="ListParagraph"/>
        <w:numPr>
          <w:ilvl w:val="0"/>
          <w:numId w:val="12"/>
        </w:numPr>
        <w:rPr>
          <w:rFonts w:cs="Arial"/>
          <w:sz w:val="24"/>
        </w:rPr>
      </w:pPr>
      <w:r w:rsidRPr="00354DD7">
        <w:rPr>
          <w:rFonts w:cs="Arial"/>
          <w:sz w:val="24"/>
        </w:rPr>
        <w:lastRenderedPageBreak/>
        <w:t>a range of housing options and choices for young people and families with children</w:t>
      </w:r>
    </w:p>
    <w:p w14:paraId="258B0BE6" w14:textId="77777777" w:rsidR="00354DD7" w:rsidRPr="00354DD7" w:rsidRDefault="00354DD7" w:rsidP="00354DD7">
      <w:pPr>
        <w:pStyle w:val="ListParagraph"/>
        <w:numPr>
          <w:ilvl w:val="0"/>
          <w:numId w:val="12"/>
        </w:numPr>
        <w:rPr>
          <w:rFonts w:cs="Arial"/>
          <w:sz w:val="24"/>
        </w:rPr>
      </w:pPr>
      <w:r w:rsidRPr="00354DD7">
        <w:rPr>
          <w:rFonts w:cs="Arial"/>
          <w:sz w:val="24"/>
        </w:rPr>
        <w:t>safe homes and neighbourhoods</w:t>
      </w:r>
    </w:p>
    <w:p w14:paraId="62543C3C" w14:textId="77777777" w:rsidR="00354DD7" w:rsidRPr="00354DD7" w:rsidRDefault="00354DD7" w:rsidP="00354DD7">
      <w:pPr>
        <w:pStyle w:val="ListParagraph"/>
        <w:numPr>
          <w:ilvl w:val="0"/>
          <w:numId w:val="12"/>
        </w:numPr>
        <w:rPr>
          <w:rFonts w:cs="Arial"/>
          <w:sz w:val="24"/>
        </w:rPr>
      </w:pPr>
      <w:r w:rsidRPr="00354DD7">
        <w:rPr>
          <w:rFonts w:cs="Arial"/>
          <w:sz w:val="24"/>
        </w:rPr>
        <w:t>affordable and suitable homes</w:t>
      </w:r>
    </w:p>
    <w:p w14:paraId="5497C727" w14:textId="77777777" w:rsidR="00354DD7" w:rsidRPr="00354DD7" w:rsidRDefault="00354DD7" w:rsidP="00354DD7">
      <w:pPr>
        <w:pStyle w:val="ListParagraph"/>
        <w:numPr>
          <w:ilvl w:val="0"/>
          <w:numId w:val="12"/>
        </w:numPr>
        <w:rPr>
          <w:rFonts w:cs="Arial"/>
          <w:sz w:val="24"/>
        </w:rPr>
      </w:pPr>
      <w:r w:rsidRPr="00354DD7">
        <w:rPr>
          <w:rFonts w:cs="Arial"/>
          <w:sz w:val="24"/>
        </w:rPr>
        <w:t>warm and energy efficient homes</w:t>
      </w:r>
    </w:p>
    <w:p w14:paraId="146DFF46" w14:textId="1DB2DAE1" w:rsidR="00273771" w:rsidRPr="005C6F61" w:rsidRDefault="00354DD7" w:rsidP="00B2484A">
      <w:pPr>
        <w:pStyle w:val="ListParagraph"/>
        <w:numPr>
          <w:ilvl w:val="0"/>
          <w:numId w:val="12"/>
        </w:numPr>
        <w:rPr>
          <w:rFonts w:cs="Arial"/>
          <w:sz w:val="24"/>
        </w:rPr>
      </w:pPr>
      <w:r w:rsidRPr="00354DD7">
        <w:rPr>
          <w:rFonts w:cs="Arial"/>
          <w:sz w:val="24"/>
        </w:rPr>
        <w:t>connected places with support services.</w:t>
      </w:r>
    </w:p>
    <w:p w14:paraId="13A4C4DC" w14:textId="5509576E" w:rsidR="00EA2B48" w:rsidRPr="00624174" w:rsidRDefault="00EA2B48" w:rsidP="00273771">
      <w:pPr>
        <w:pStyle w:val="Heading1"/>
        <w:rPr>
          <w:rFonts w:ascii="Arial" w:eastAsia="Times New Roman" w:hAnsi="Arial" w:cs="Arial"/>
          <w:sz w:val="28"/>
          <w:szCs w:val="28"/>
        </w:rPr>
      </w:pPr>
      <w:r w:rsidRPr="00624174">
        <w:rPr>
          <w:rFonts w:ascii="Arial" w:eastAsia="Times New Roman" w:hAnsi="Arial" w:cs="Arial"/>
          <w:sz w:val="28"/>
          <w:szCs w:val="28"/>
        </w:rPr>
        <w:t>3. Will there be different impacts on different groups of children and young people?</w:t>
      </w:r>
    </w:p>
    <w:p w14:paraId="1FF729E1" w14:textId="71839D23" w:rsidR="00273771" w:rsidRDefault="00273771" w:rsidP="00EA2B48">
      <w:pPr>
        <w:spacing w:after="0"/>
        <w:rPr>
          <w:rFonts w:cs="Arial"/>
          <w:sz w:val="24"/>
        </w:rPr>
      </w:pPr>
    </w:p>
    <w:p w14:paraId="61304448" w14:textId="05185EEF" w:rsidR="005C6F61" w:rsidRDefault="005C6F61" w:rsidP="00EA2B48">
      <w:pPr>
        <w:spacing w:after="0"/>
        <w:rPr>
          <w:rFonts w:cs="Arial"/>
          <w:sz w:val="24"/>
        </w:rPr>
      </w:pPr>
      <w:r>
        <w:rPr>
          <w:rFonts w:cs="Arial"/>
          <w:sz w:val="24"/>
        </w:rPr>
        <w:t xml:space="preserve">All children will be impacted positively by </w:t>
      </w:r>
      <w:r w:rsidR="00572535">
        <w:rPr>
          <w:rFonts w:cs="Arial"/>
          <w:sz w:val="24"/>
        </w:rPr>
        <w:t>working to achieve the</w:t>
      </w:r>
      <w:r>
        <w:rPr>
          <w:rFonts w:cs="Arial"/>
          <w:sz w:val="24"/>
        </w:rPr>
        <w:t xml:space="preserve"> outcomes and actions </w:t>
      </w:r>
      <w:r w:rsidR="00572535">
        <w:rPr>
          <w:rFonts w:cs="Arial"/>
          <w:sz w:val="24"/>
        </w:rPr>
        <w:t xml:space="preserve">of </w:t>
      </w:r>
      <w:r>
        <w:rPr>
          <w:rFonts w:cs="Arial"/>
          <w:sz w:val="24"/>
        </w:rPr>
        <w:t xml:space="preserve">the Inverclyde Local Housing Strategy. This </w:t>
      </w:r>
      <w:r w:rsidR="003B7ABF">
        <w:rPr>
          <w:rFonts w:cs="Arial"/>
          <w:sz w:val="24"/>
        </w:rPr>
        <w:t>will be</w:t>
      </w:r>
      <w:r>
        <w:rPr>
          <w:rFonts w:cs="Arial"/>
          <w:sz w:val="24"/>
        </w:rPr>
        <w:t xml:space="preserve"> achieved by </w:t>
      </w:r>
      <w:r w:rsidR="003B7ABF">
        <w:rPr>
          <w:rFonts w:cs="Arial"/>
          <w:sz w:val="24"/>
        </w:rPr>
        <w:t>implementing the LHS action plan and delivering the following outcomes:</w:t>
      </w:r>
    </w:p>
    <w:p w14:paraId="2B52F8A2" w14:textId="1483D9B8" w:rsidR="003B7ABF" w:rsidRDefault="003B7ABF" w:rsidP="003B7ABF">
      <w:pPr>
        <w:pStyle w:val="ListParagraph"/>
        <w:numPr>
          <w:ilvl w:val="0"/>
          <w:numId w:val="15"/>
        </w:numPr>
        <w:spacing w:after="0"/>
        <w:rPr>
          <w:rFonts w:cs="Arial"/>
          <w:sz w:val="24"/>
        </w:rPr>
      </w:pPr>
      <w:r w:rsidRPr="003B7ABF">
        <w:rPr>
          <w:rFonts w:cs="Arial"/>
          <w:sz w:val="24"/>
        </w:rPr>
        <w:t>People in Inverclyde live in quality homes in connected communities</w:t>
      </w:r>
      <w:r>
        <w:rPr>
          <w:rFonts w:cs="Arial"/>
          <w:sz w:val="24"/>
        </w:rPr>
        <w:t>.</w:t>
      </w:r>
    </w:p>
    <w:p w14:paraId="21441BEC" w14:textId="53A1478E" w:rsidR="003B7ABF" w:rsidRDefault="003B7ABF" w:rsidP="003B7ABF">
      <w:pPr>
        <w:pStyle w:val="ListParagraph"/>
        <w:numPr>
          <w:ilvl w:val="0"/>
          <w:numId w:val="15"/>
        </w:numPr>
        <w:spacing w:after="0"/>
        <w:rPr>
          <w:rFonts w:cs="Arial"/>
          <w:sz w:val="24"/>
        </w:rPr>
      </w:pPr>
      <w:r w:rsidRPr="003B7ABF">
        <w:rPr>
          <w:rFonts w:cs="Arial"/>
          <w:sz w:val="24"/>
        </w:rPr>
        <w:t>People in Inverclyde find it easier to access and sustain a home</w:t>
      </w:r>
      <w:r>
        <w:rPr>
          <w:rFonts w:cs="Arial"/>
          <w:sz w:val="24"/>
        </w:rPr>
        <w:t>.</w:t>
      </w:r>
    </w:p>
    <w:p w14:paraId="370989ED" w14:textId="3E96DF30" w:rsidR="003B7ABF" w:rsidRDefault="003B7ABF" w:rsidP="003B7ABF">
      <w:pPr>
        <w:pStyle w:val="ListParagraph"/>
        <w:numPr>
          <w:ilvl w:val="0"/>
          <w:numId w:val="15"/>
        </w:numPr>
        <w:spacing w:after="0"/>
        <w:rPr>
          <w:rFonts w:cs="Arial"/>
          <w:sz w:val="24"/>
        </w:rPr>
      </w:pPr>
      <w:r w:rsidRPr="003B7ABF">
        <w:rPr>
          <w:rFonts w:cs="Arial"/>
          <w:sz w:val="24"/>
        </w:rPr>
        <w:t>People in Inverclyde are supported to live independently and well at home</w:t>
      </w:r>
      <w:r>
        <w:rPr>
          <w:rFonts w:cs="Arial"/>
          <w:sz w:val="24"/>
        </w:rPr>
        <w:t>.</w:t>
      </w:r>
    </w:p>
    <w:p w14:paraId="3CFD0F07" w14:textId="02E35609" w:rsidR="003B7ABF" w:rsidRDefault="003B7ABF" w:rsidP="003B7ABF">
      <w:pPr>
        <w:pStyle w:val="ListParagraph"/>
        <w:numPr>
          <w:ilvl w:val="0"/>
          <w:numId w:val="15"/>
        </w:numPr>
        <w:spacing w:after="0"/>
        <w:rPr>
          <w:rFonts w:cs="Arial"/>
          <w:sz w:val="24"/>
        </w:rPr>
      </w:pPr>
      <w:r w:rsidRPr="003B7ABF">
        <w:rPr>
          <w:rFonts w:cs="Arial"/>
          <w:sz w:val="24"/>
        </w:rPr>
        <w:t>People in Inverclyde live in good quality, carbon friendly homes and energy efficient homes which reduce fuel poverty</w:t>
      </w:r>
      <w:r>
        <w:rPr>
          <w:rFonts w:cs="Arial"/>
          <w:sz w:val="24"/>
        </w:rPr>
        <w:t>.</w:t>
      </w:r>
    </w:p>
    <w:p w14:paraId="09DF7C91" w14:textId="77777777" w:rsidR="003B7ABF" w:rsidRDefault="003B7ABF" w:rsidP="003B7ABF">
      <w:pPr>
        <w:spacing w:after="0"/>
        <w:rPr>
          <w:rFonts w:cs="Arial"/>
          <w:sz w:val="24"/>
        </w:rPr>
      </w:pPr>
    </w:p>
    <w:p w14:paraId="366D43A4" w14:textId="0F128901" w:rsidR="003B7ABF" w:rsidRPr="003B7ABF" w:rsidRDefault="003B7ABF" w:rsidP="003B7ABF">
      <w:pPr>
        <w:spacing w:after="0"/>
        <w:rPr>
          <w:rFonts w:cs="Arial"/>
          <w:sz w:val="24"/>
        </w:rPr>
      </w:pPr>
      <w:r>
        <w:rPr>
          <w:rFonts w:cs="Arial"/>
          <w:sz w:val="24"/>
        </w:rPr>
        <w:t>More specifically, the following actions and interventions will be made over the period of the Inverclyde LHS (23-28) to improve housing outcomes for young people and more specifically those who are disadvantaged.</w:t>
      </w:r>
    </w:p>
    <w:p w14:paraId="0D0CFE35" w14:textId="4680F691" w:rsidR="00F47E32" w:rsidRDefault="00F47E32" w:rsidP="00EA2B48">
      <w:pPr>
        <w:spacing w:after="0"/>
        <w:rPr>
          <w:rFonts w:cs="Arial"/>
          <w:sz w:val="24"/>
        </w:rPr>
      </w:pPr>
    </w:p>
    <w:p w14:paraId="377829EB" w14:textId="2325A638" w:rsidR="00F47E32" w:rsidRPr="003B7ABF" w:rsidRDefault="00F47E32" w:rsidP="00EA2B48">
      <w:pPr>
        <w:spacing w:after="0"/>
        <w:rPr>
          <w:rFonts w:cs="Arial"/>
          <w:b/>
          <w:bCs/>
          <w:sz w:val="24"/>
        </w:rPr>
      </w:pPr>
      <w:r w:rsidRPr="003B7ABF">
        <w:rPr>
          <w:rFonts w:cs="Arial"/>
          <w:b/>
          <w:bCs/>
          <w:sz w:val="24"/>
        </w:rPr>
        <w:t>Action(s) and Commitments for Outcome Delivery</w:t>
      </w:r>
      <w:r w:rsidR="003B7ABF">
        <w:rPr>
          <w:rFonts w:cs="Arial"/>
          <w:b/>
          <w:bCs/>
          <w:sz w:val="24"/>
        </w:rPr>
        <w:t>:</w:t>
      </w:r>
      <w:r w:rsidRPr="003B7ABF">
        <w:rPr>
          <w:rFonts w:cs="Arial"/>
          <w:b/>
          <w:bCs/>
          <w:sz w:val="24"/>
        </w:rPr>
        <w:tab/>
      </w:r>
    </w:p>
    <w:p w14:paraId="5C80052C" w14:textId="27BA3344" w:rsidR="00F47E32" w:rsidRDefault="00F47E32" w:rsidP="00EA2B48">
      <w:pPr>
        <w:spacing w:after="0"/>
        <w:rPr>
          <w:rFonts w:cs="Arial"/>
          <w:sz w:val="24"/>
        </w:rPr>
      </w:pPr>
      <w:r w:rsidRPr="00F47E32">
        <w:rPr>
          <w:rFonts w:cs="Arial"/>
          <w:sz w:val="24"/>
        </w:rPr>
        <w:t>Continue to improve housing outcomes across a range of measures for young people, including care leavers and young adults with complex needs</w:t>
      </w:r>
    </w:p>
    <w:p w14:paraId="2D4D8D6C" w14:textId="13373A49" w:rsidR="00F47E32" w:rsidRDefault="00F47E32" w:rsidP="00EA2B48">
      <w:pPr>
        <w:spacing w:after="0"/>
        <w:rPr>
          <w:rFonts w:cs="Arial"/>
          <w:sz w:val="24"/>
        </w:rPr>
      </w:pPr>
    </w:p>
    <w:p w14:paraId="48C3B206" w14:textId="463D15FD" w:rsidR="00F47E32" w:rsidRDefault="00F47E32" w:rsidP="00EA2B48">
      <w:pPr>
        <w:spacing w:after="0"/>
        <w:rPr>
          <w:rFonts w:cs="Arial"/>
          <w:b/>
          <w:bCs/>
          <w:sz w:val="24"/>
        </w:rPr>
      </w:pPr>
      <w:r w:rsidRPr="00F47E32">
        <w:rPr>
          <w:rFonts w:cs="Arial"/>
          <w:b/>
          <w:bCs/>
          <w:sz w:val="24"/>
        </w:rPr>
        <w:t>Baseline</w:t>
      </w:r>
      <w:r>
        <w:rPr>
          <w:rFonts w:cs="Arial"/>
          <w:b/>
          <w:bCs/>
          <w:sz w:val="24"/>
        </w:rPr>
        <w:t>:</w:t>
      </w:r>
    </w:p>
    <w:p w14:paraId="30816892" w14:textId="7C213115" w:rsidR="00F47E32" w:rsidRPr="00A66D75" w:rsidRDefault="00A66D75" w:rsidP="00A66D75">
      <w:pPr>
        <w:pStyle w:val="ListParagraph"/>
        <w:numPr>
          <w:ilvl w:val="0"/>
          <w:numId w:val="14"/>
        </w:numPr>
        <w:spacing w:after="0"/>
        <w:rPr>
          <w:rFonts w:cs="Arial"/>
          <w:sz w:val="24"/>
        </w:rPr>
      </w:pPr>
      <w:r w:rsidRPr="00A66D75">
        <w:rPr>
          <w:rFonts w:cs="Arial"/>
          <w:sz w:val="24"/>
        </w:rPr>
        <w:t>Current housing outcomes for young people</w:t>
      </w:r>
    </w:p>
    <w:p w14:paraId="154A162D" w14:textId="56416927" w:rsidR="00F47E32" w:rsidRDefault="00F47E32" w:rsidP="00EA2B48">
      <w:pPr>
        <w:spacing w:after="0"/>
        <w:rPr>
          <w:rFonts w:cs="Arial"/>
          <w:sz w:val="24"/>
        </w:rPr>
      </w:pPr>
    </w:p>
    <w:p w14:paraId="27095B7D" w14:textId="6BADB5B0" w:rsidR="00273771" w:rsidRPr="00F47E32" w:rsidRDefault="00F47E32" w:rsidP="00F47E32">
      <w:pPr>
        <w:spacing w:after="0"/>
        <w:rPr>
          <w:rFonts w:cs="Arial"/>
          <w:b/>
          <w:bCs/>
          <w:sz w:val="24"/>
        </w:rPr>
      </w:pPr>
      <w:r w:rsidRPr="00F47E32">
        <w:rPr>
          <w:rFonts w:cs="Arial"/>
          <w:b/>
          <w:bCs/>
          <w:sz w:val="24"/>
        </w:rPr>
        <w:t>Indicator or Measur</w:t>
      </w:r>
      <w:r>
        <w:rPr>
          <w:rFonts w:cs="Arial"/>
          <w:b/>
          <w:bCs/>
          <w:sz w:val="24"/>
        </w:rPr>
        <w:t>e:</w:t>
      </w:r>
    </w:p>
    <w:p w14:paraId="42462BE6" w14:textId="77777777" w:rsidR="00F47E32" w:rsidRPr="00F47E32" w:rsidRDefault="00F47E32" w:rsidP="00F47E32">
      <w:pPr>
        <w:pStyle w:val="ListParagraph"/>
        <w:numPr>
          <w:ilvl w:val="0"/>
          <w:numId w:val="13"/>
        </w:numPr>
        <w:spacing w:after="0"/>
        <w:rPr>
          <w:rFonts w:cs="Arial"/>
          <w:sz w:val="24"/>
        </w:rPr>
      </w:pPr>
      <w:r w:rsidRPr="00F47E32">
        <w:rPr>
          <w:rFonts w:cs="Arial"/>
          <w:sz w:val="24"/>
        </w:rPr>
        <w:t>Increase in positive housing destinations achieved by looked after young people</w:t>
      </w:r>
    </w:p>
    <w:p w14:paraId="190EEC6D" w14:textId="77777777" w:rsidR="00F47E32" w:rsidRPr="00F47E32" w:rsidRDefault="00F47E32" w:rsidP="00F47E32">
      <w:pPr>
        <w:pStyle w:val="ListParagraph"/>
        <w:numPr>
          <w:ilvl w:val="0"/>
          <w:numId w:val="13"/>
        </w:numPr>
        <w:spacing w:after="0"/>
        <w:rPr>
          <w:rFonts w:cs="Arial"/>
          <w:sz w:val="24"/>
        </w:rPr>
      </w:pPr>
      <w:r w:rsidRPr="00F47E32">
        <w:rPr>
          <w:rFonts w:cs="Arial"/>
          <w:sz w:val="24"/>
        </w:rPr>
        <w:t>Increase in number of tenancies sustained by young people for more than 12 months</w:t>
      </w:r>
    </w:p>
    <w:p w14:paraId="44108AD1" w14:textId="1403DAD4" w:rsidR="00F47E32" w:rsidRDefault="00F47E32" w:rsidP="00F47E32">
      <w:pPr>
        <w:pStyle w:val="ListParagraph"/>
        <w:numPr>
          <w:ilvl w:val="0"/>
          <w:numId w:val="13"/>
        </w:numPr>
        <w:spacing w:after="0"/>
        <w:rPr>
          <w:rFonts w:cs="Arial"/>
          <w:sz w:val="24"/>
        </w:rPr>
      </w:pPr>
      <w:r w:rsidRPr="00F47E32">
        <w:rPr>
          <w:rFonts w:cs="Arial"/>
          <w:sz w:val="24"/>
        </w:rPr>
        <w:t>Increase in number of young people with complex needs receiving housing support</w:t>
      </w:r>
    </w:p>
    <w:p w14:paraId="5D71DC8C" w14:textId="77777777" w:rsidR="00F47E32" w:rsidRDefault="00F47E32" w:rsidP="00F47E32">
      <w:pPr>
        <w:spacing w:after="0"/>
        <w:rPr>
          <w:rFonts w:cs="Arial"/>
          <w:sz w:val="24"/>
        </w:rPr>
      </w:pPr>
    </w:p>
    <w:p w14:paraId="0ADECCED" w14:textId="20684E08" w:rsidR="00F47E32" w:rsidRPr="00F47E32" w:rsidRDefault="00F47E32" w:rsidP="00F47E32">
      <w:pPr>
        <w:spacing w:after="0"/>
        <w:rPr>
          <w:rFonts w:cs="Arial"/>
          <w:b/>
          <w:bCs/>
          <w:sz w:val="24"/>
        </w:rPr>
      </w:pPr>
      <w:r w:rsidRPr="00F47E32">
        <w:rPr>
          <w:rFonts w:cs="Arial"/>
          <w:b/>
          <w:bCs/>
          <w:sz w:val="24"/>
        </w:rPr>
        <w:t>Milestones:</w:t>
      </w:r>
    </w:p>
    <w:p w14:paraId="1FC18945" w14:textId="77777777" w:rsidR="00F47E32" w:rsidRPr="00F47E32" w:rsidRDefault="00F47E32" w:rsidP="00F47E32">
      <w:pPr>
        <w:pStyle w:val="ListParagraph"/>
        <w:numPr>
          <w:ilvl w:val="0"/>
          <w:numId w:val="13"/>
        </w:numPr>
        <w:spacing w:after="0"/>
        <w:rPr>
          <w:rFonts w:cs="Arial"/>
          <w:sz w:val="24"/>
        </w:rPr>
      </w:pPr>
      <w:r w:rsidRPr="00F47E32">
        <w:rPr>
          <w:rFonts w:cs="Arial"/>
          <w:sz w:val="24"/>
        </w:rPr>
        <w:t>Map housing and support needs of young people, including previously looked after children, to identify gaps in insight and baseline needs assessment</w:t>
      </w:r>
    </w:p>
    <w:p w14:paraId="5EBBCD25" w14:textId="77777777" w:rsidR="00F47E32" w:rsidRPr="00F47E32" w:rsidRDefault="00F47E32" w:rsidP="00F47E32">
      <w:pPr>
        <w:pStyle w:val="ListParagraph"/>
        <w:numPr>
          <w:ilvl w:val="0"/>
          <w:numId w:val="13"/>
        </w:numPr>
        <w:spacing w:after="0"/>
        <w:rPr>
          <w:rFonts w:cs="Arial"/>
          <w:sz w:val="24"/>
        </w:rPr>
      </w:pPr>
      <w:r w:rsidRPr="00F47E32">
        <w:rPr>
          <w:rFonts w:cs="Arial"/>
          <w:sz w:val="24"/>
        </w:rPr>
        <w:t>Review care pathways for care experienced young people and young adults with complex needs</w:t>
      </w:r>
    </w:p>
    <w:p w14:paraId="65B9DD4E" w14:textId="2DDE1F18" w:rsidR="00F47E32" w:rsidRPr="00F47E32" w:rsidRDefault="00F47E32" w:rsidP="00F47E32">
      <w:pPr>
        <w:pStyle w:val="ListParagraph"/>
        <w:numPr>
          <w:ilvl w:val="0"/>
          <w:numId w:val="13"/>
        </w:numPr>
        <w:spacing w:after="0"/>
        <w:rPr>
          <w:rFonts w:cs="Arial"/>
          <w:sz w:val="24"/>
        </w:rPr>
      </w:pPr>
      <w:r w:rsidRPr="00F47E32">
        <w:rPr>
          <w:rFonts w:cs="Arial"/>
          <w:sz w:val="24"/>
        </w:rPr>
        <w:t>In partnership with</w:t>
      </w:r>
      <w:r w:rsidR="00572535">
        <w:rPr>
          <w:rFonts w:cs="Arial"/>
          <w:sz w:val="24"/>
        </w:rPr>
        <w:t xml:space="preserve"> the Inverclyde </w:t>
      </w:r>
      <w:r w:rsidRPr="00F47E32">
        <w:rPr>
          <w:rFonts w:cs="Arial"/>
          <w:sz w:val="24"/>
        </w:rPr>
        <w:t>H</w:t>
      </w:r>
      <w:r w:rsidR="00572535">
        <w:rPr>
          <w:rFonts w:cs="Arial"/>
          <w:sz w:val="24"/>
        </w:rPr>
        <w:t xml:space="preserve">ealth and </w:t>
      </w:r>
      <w:r w:rsidRPr="00F47E32">
        <w:rPr>
          <w:rFonts w:cs="Arial"/>
          <w:sz w:val="24"/>
        </w:rPr>
        <w:t>S</w:t>
      </w:r>
      <w:r w:rsidR="00572535">
        <w:rPr>
          <w:rFonts w:cs="Arial"/>
          <w:sz w:val="24"/>
        </w:rPr>
        <w:t xml:space="preserve">ocial </w:t>
      </w:r>
      <w:r w:rsidRPr="00F47E32">
        <w:rPr>
          <w:rFonts w:cs="Arial"/>
          <w:sz w:val="24"/>
        </w:rPr>
        <w:t>C</w:t>
      </w:r>
      <w:r w:rsidR="00572535">
        <w:rPr>
          <w:rFonts w:cs="Arial"/>
          <w:sz w:val="24"/>
        </w:rPr>
        <w:t xml:space="preserve">are </w:t>
      </w:r>
      <w:r w:rsidRPr="00F47E32">
        <w:rPr>
          <w:rFonts w:cs="Arial"/>
          <w:sz w:val="24"/>
        </w:rPr>
        <w:t>P</w:t>
      </w:r>
      <w:r w:rsidR="00572535">
        <w:rPr>
          <w:rFonts w:cs="Arial"/>
          <w:sz w:val="24"/>
        </w:rPr>
        <w:t>artnership (HSCP)</w:t>
      </w:r>
      <w:r w:rsidRPr="00F47E32">
        <w:rPr>
          <w:rFonts w:cs="Arial"/>
          <w:sz w:val="24"/>
        </w:rPr>
        <w:t>, develop processes and procedures to plan housing outcomes for young adults based on their housing need</w:t>
      </w:r>
    </w:p>
    <w:p w14:paraId="276D4276" w14:textId="413076DB" w:rsidR="00F47E32" w:rsidRPr="00F47E32" w:rsidRDefault="00F47E32" w:rsidP="00F47E32">
      <w:pPr>
        <w:pStyle w:val="ListParagraph"/>
        <w:numPr>
          <w:ilvl w:val="0"/>
          <w:numId w:val="13"/>
        </w:numPr>
        <w:spacing w:after="0"/>
        <w:rPr>
          <w:rFonts w:cs="Arial"/>
          <w:sz w:val="24"/>
        </w:rPr>
      </w:pPr>
      <w:r w:rsidRPr="00F47E32">
        <w:rPr>
          <w:rFonts w:cs="Arial"/>
          <w:sz w:val="24"/>
        </w:rPr>
        <w:t>Ensure consistent approach to identifying and planning for housing needs of young adults across Inverclyde</w:t>
      </w:r>
      <w:r>
        <w:rPr>
          <w:rFonts w:cs="Arial"/>
          <w:sz w:val="24"/>
        </w:rPr>
        <w:t>.</w:t>
      </w:r>
    </w:p>
    <w:p w14:paraId="2D1E1258" w14:textId="093B3988" w:rsidR="00EA2B48" w:rsidRPr="00624174" w:rsidRDefault="00EA2B48" w:rsidP="00273771">
      <w:pPr>
        <w:pStyle w:val="Heading1"/>
        <w:rPr>
          <w:rFonts w:eastAsia="Times New Roman" w:cs="Arial"/>
          <w:sz w:val="28"/>
          <w:szCs w:val="28"/>
        </w:rPr>
      </w:pPr>
      <w:r w:rsidRPr="00624174">
        <w:rPr>
          <w:rFonts w:ascii="Arial" w:eastAsia="Times New Roman" w:hAnsi="Arial" w:cs="Arial"/>
          <w:sz w:val="28"/>
          <w:szCs w:val="28"/>
        </w:rPr>
        <w:lastRenderedPageBreak/>
        <w:t>4. If a negative impact is assessed for any area of rights or any group of children and young people, can you explain why this is necessary and proportionate? What options have you considered to modify the proposal, or mitigate the impact?</w:t>
      </w:r>
    </w:p>
    <w:p w14:paraId="01724309" w14:textId="178272F5" w:rsidR="005C6F61" w:rsidRDefault="005C6F61" w:rsidP="00273771">
      <w:pPr>
        <w:spacing w:after="0"/>
        <w:rPr>
          <w:rFonts w:cs="Arial"/>
          <w:sz w:val="24"/>
        </w:rPr>
      </w:pPr>
    </w:p>
    <w:p w14:paraId="1EB2794A" w14:textId="0A45D8A5" w:rsidR="00EA2B48" w:rsidRDefault="005C6F61" w:rsidP="00273771">
      <w:pPr>
        <w:spacing w:after="0"/>
        <w:rPr>
          <w:rFonts w:cs="Arial"/>
          <w:sz w:val="24"/>
        </w:rPr>
      </w:pPr>
      <w:r w:rsidRPr="005C6F61">
        <w:rPr>
          <w:rFonts w:cs="Arial"/>
          <w:sz w:val="24"/>
        </w:rPr>
        <w:t>There are no negative impacts on children and young people as a result of the implementation of the</w:t>
      </w:r>
      <w:r>
        <w:rPr>
          <w:rFonts w:cs="Arial"/>
          <w:sz w:val="24"/>
        </w:rPr>
        <w:t xml:space="preserve"> Inverclyde </w:t>
      </w:r>
      <w:r w:rsidRPr="005C6F61">
        <w:rPr>
          <w:rFonts w:cs="Arial"/>
          <w:sz w:val="24"/>
        </w:rPr>
        <w:t>L</w:t>
      </w:r>
      <w:r>
        <w:rPr>
          <w:rFonts w:cs="Arial"/>
          <w:sz w:val="24"/>
        </w:rPr>
        <w:t xml:space="preserve">ocal </w:t>
      </w:r>
      <w:r w:rsidRPr="005C6F61">
        <w:rPr>
          <w:rFonts w:cs="Arial"/>
          <w:sz w:val="24"/>
        </w:rPr>
        <w:t>H</w:t>
      </w:r>
      <w:r>
        <w:rPr>
          <w:rFonts w:cs="Arial"/>
          <w:sz w:val="24"/>
        </w:rPr>
        <w:t xml:space="preserve">ousing </w:t>
      </w:r>
      <w:r w:rsidRPr="005C6F61">
        <w:rPr>
          <w:rFonts w:cs="Arial"/>
          <w:sz w:val="24"/>
        </w:rPr>
        <w:t>S</w:t>
      </w:r>
      <w:r>
        <w:rPr>
          <w:rFonts w:cs="Arial"/>
          <w:sz w:val="24"/>
        </w:rPr>
        <w:t>trategy</w:t>
      </w:r>
      <w:r w:rsidRPr="005C6F61">
        <w:rPr>
          <w:rFonts w:cs="Arial"/>
          <w:sz w:val="24"/>
        </w:rPr>
        <w:t>.</w:t>
      </w:r>
    </w:p>
    <w:p w14:paraId="3DA985FD" w14:textId="5C032084" w:rsidR="00EA2B48" w:rsidRPr="00353B4B" w:rsidRDefault="00EA2B48" w:rsidP="00273771">
      <w:pPr>
        <w:pStyle w:val="Heading1"/>
        <w:rPr>
          <w:rFonts w:ascii="Arial" w:eastAsia="Times New Roman" w:hAnsi="Arial" w:cs="Arial"/>
          <w:sz w:val="28"/>
          <w:szCs w:val="28"/>
        </w:rPr>
      </w:pPr>
      <w:r w:rsidRPr="00353B4B">
        <w:rPr>
          <w:rFonts w:ascii="Arial" w:eastAsia="Times New Roman" w:hAnsi="Arial" w:cs="Arial"/>
          <w:sz w:val="28"/>
          <w:szCs w:val="28"/>
        </w:rPr>
        <w:t>5. How will the policy/measure give better or further effect to the implementation of the UNCRC in Scotland?</w:t>
      </w:r>
    </w:p>
    <w:p w14:paraId="700C0F95" w14:textId="19BEB281" w:rsidR="00353B4B" w:rsidRDefault="00353B4B">
      <w:pPr>
        <w:spacing w:after="0"/>
        <w:rPr>
          <w:rFonts w:cs="Arial"/>
          <w:sz w:val="24"/>
        </w:rPr>
      </w:pPr>
    </w:p>
    <w:p w14:paraId="43D2BD94" w14:textId="41633FF5" w:rsidR="00353B4B" w:rsidRDefault="00353B4B" w:rsidP="00353B4B">
      <w:pPr>
        <w:spacing w:after="0"/>
        <w:rPr>
          <w:rFonts w:cs="Arial"/>
          <w:sz w:val="24"/>
        </w:rPr>
      </w:pPr>
      <w:r w:rsidRPr="00353B4B">
        <w:rPr>
          <w:rFonts w:cs="Arial"/>
          <w:sz w:val="24"/>
        </w:rPr>
        <w:t>The LHS Outcomes address the main housing issues which need action, investment and partnership over the next 5 years and have been co-produced with partners and stakeholders from public, private and independent sectors. The Action Plan, activities and targets will be reviewed annually to ensure partners are able to respond flexibly to changes in need across the Inverclyde region.</w:t>
      </w:r>
      <w:r w:rsidR="00367E94">
        <w:rPr>
          <w:rFonts w:cs="Arial"/>
          <w:sz w:val="24"/>
        </w:rPr>
        <w:t xml:space="preserve"> </w:t>
      </w:r>
    </w:p>
    <w:p w14:paraId="17998395" w14:textId="77599BFB" w:rsidR="00367E94" w:rsidRDefault="00367E94" w:rsidP="00353B4B">
      <w:pPr>
        <w:spacing w:after="0"/>
        <w:rPr>
          <w:rFonts w:cs="Arial"/>
          <w:sz w:val="24"/>
        </w:rPr>
      </w:pPr>
    </w:p>
    <w:p w14:paraId="43C1D682" w14:textId="2B7C0B4C" w:rsidR="00367E94" w:rsidRDefault="00367E94" w:rsidP="00353B4B">
      <w:pPr>
        <w:spacing w:after="0"/>
        <w:rPr>
          <w:rFonts w:cs="Arial"/>
          <w:sz w:val="24"/>
        </w:rPr>
      </w:pPr>
      <w:r>
        <w:rPr>
          <w:rFonts w:cs="Arial"/>
          <w:sz w:val="24"/>
        </w:rPr>
        <w:t xml:space="preserve">Annual review of the LHS action plan </w:t>
      </w:r>
      <w:r w:rsidR="00B60C89">
        <w:rPr>
          <w:rFonts w:cs="Arial"/>
          <w:sz w:val="24"/>
        </w:rPr>
        <w:t>will provide updates on delivery of actions and in relation to this assessment the ac</w:t>
      </w:r>
      <w:r w:rsidR="00FC02CD">
        <w:rPr>
          <w:rFonts w:cs="Arial"/>
          <w:sz w:val="24"/>
        </w:rPr>
        <w:t>tion identified in question 3:</w:t>
      </w:r>
    </w:p>
    <w:p w14:paraId="17B2FB63" w14:textId="57DF1BFC" w:rsidR="00A807FD" w:rsidRDefault="00A807FD">
      <w:pPr>
        <w:spacing w:after="0"/>
        <w:rPr>
          <w:rFonts w:cs="Arial"/>
          <w:sz w:val="24"/>
        </w:rPr>
      </w:pPr>
    </w:p>
    <w:p w14:paraId="25417B99" w14:textId="50CA3149" w:rsidR="00B60C89" w:rsidRDefault="00B60C89">
      <w:pPr>
        <w:spacing w:after="0"/>
        <w:rPr>
          <w:rFonts w:cs="Arial"/>
          <w:i/>
          <w:iCs/>
          <w:sz w:val="24"/>
        </w:rPr>
      </w:pPr>
      <w:r>
        <w:rPr>
          <w:rFonts w:cs="Arial"/>
          <w:i/>
          <w:iCs/>
          <w:sz w:val="24"/>
        </w:rPr>
        <w:t>‘</w:t>
      </w:r>
      <w:r w:rsidRPr="00B60C89">
        <w:rPr>
          <w:rFonts w:cs="Arial"/>
          <w:i/>
          <w:iCs/>
          <w:sz w:val="24"/>
        </w:rPr>
        <w:t>Continue to improve housing outcomes across a range of measures for young people, including care leavers and young adults with complex needs</w:t>
      </w:r>
      <w:r>
        <w:rPr>
          <w:rFonts w:cs="Arial"/>
          <w:i/>
          <w:iCs/>
          <w:sz w:val="24"/>
        </w:rPr>
        <w:t>.’</w:t>
      </w:r>
    </w:p>
    <w:p w14:paraId="77D18CB7" w14:textId="3D104875" w:rsidR="00FC02CD" w:rsidRDefault="00FC02CD">
      <w:pPr>
        <w:spacing w:after="0"/>
        <w:rPr>
          <w:rFonts w:cs="Arial"/>
          <w:i/>
          <w:iCs/>
          <w:sz w:val="24"/>
        </w:rPr>
      </w:pPr>
    </w:p>
    <w:p w14:paraId="34B893A3" w14:textId="7C84CD9C" w:rsidR="00FC02CD" w:rsidRPr="00FC02CD" w:rsidRDefault="00FC02CD">
      <w:pPr>
        <w:spacing w:after="0"/>
        <w:rPr>
          <w:rFonts w:cs="Arial"/>
          <w:sz w:val="24"/>
        </w:rPr>
      </w:pPr>
      <w:r>
        <w:rPr>
          <w:rFonts w:cs="Arial"/>
          <w:sz w:val="24"/>
        </w:rPr>
        <w:t>Completion of this action will contribute towards</w:t>
      </w:r>
      <w:r w:rsidRPr="00FC02CD">
        <w:t xml:space="preserve"> </w:t>
      </w:r>
      <w:r w:rsidRPr="00FC02CD">
        <w:rPr>
          <w:rFonts w:cs="Arial"/>
          <w:sz w:val="24"/>
        </w:rPr>
        <w:t>better or further effect to the implementation of the UNCRC in Scotland</w:t>
      </w:r>
      <w:r>
        <w:rPr>
          <w:rFonts w:cs="Arial"/>
          <w:sz w:val="24"/>
        </w:rPr>
        <w:t xml:space="preserve"> and </w:t>
      </w:r>
      <w:r w:rsidRPr="00FC02CD">
        <w:rPr>
          <w:rFonts w:cs="Arial"/>
          <w:sz w:val="24"/>
        </w:rPr>
        <w:t>inform Scottish Ministers’ duty to report to Parliament on children’s rights under the Children and Young People (Scotland) Act 2014.</w:t>
      </w:r>
    </w:p>
    <w:p w14:paraId="59A4CC62" w14:textId="134F9BAC" w:rsidR="00A06E0D" w:rsidRPr="00624174" w:rsidRDefault="0050408F" w:rsidP="00A06E0D">
      <w:pPr>
        <w:pStyle w:val="Heading1"/>
        <w:spacing w:after="240"/>
        <w:rPr>
          <w:rFonts w:ascii="Arial" w:eastAsia="Times New Roman" w:hAnsi="Arial" w:cs="Arial"/>
          <w:sz w:val="28"/>
          <w:szCs w:val="28"/>
        </w:rPr>
      </w:pPr>
      <w:r w:rsidRPr="00624174">
        <w:rPr>
          <w:rFonts w:ascii="Arial" w:eastAsia="Times New Roman" w:hAnsi="Arial" w:cs="Arial"/>
          <w:sz w:val="28"/>
          <w:szCs w:val="28"/>
        </w:rPr>
        <w:t>6</w:t>
      </w:r>
      <w:r w:rsidR="00A807FD" w:rsidRPr="00624174">
        <w:rPr>
          <w:rFonts w:ascii="Arial" w:eastAsia="Times New Roman" w:hAnsi="Arial" w:cs="Arial"/>
          <w:sz w:val="28"/>
          <w:szCs w:val="28"/>
        </w:rPr>
        <w:t>. How have you consulted with relevant stakeholders, including involving children and young people in the development of the policy/measure?</w:t>
      </w:r>
    </w:p>
    <w:p w14:paraId="3E8AD18C" w14:textId="0FEC299D" w:rsidR="00A06E0D" w:rsidRDefault="00A06E0D" w:rsidP="00273771">
      <w:pPr>
        <w:rPr>
          <w:rFonts w:cs="Arial"/>
          <w:sz w:val="24"/>
        </w:rPr>
      </w:pPr>
      <w:r w:rsidRPr="00A06E0D">
        <w:rPr>
          <w:rFonts w:cs="Arial"/>
          <w:sz w:val="24"/>
        </w:rPr>
        <w:t>An extensive consultation and engagement programme was delivered to support development of the new</w:t>
      </w:r>
      <w:r>
        <w:rPr>
          <w:rFonts w:cs="Arial"/>
          <w:sz w:val="24"/>
        </w:rPr>
        <w:t xml:space="preserve"> Inverclyde</w:t>
      </w:r>
      <w:r w:rsidRPr="00A06E0D">
        <w:rPr>
          <w:rFonts w:cs="Arial"/>
          <w:sz w:val="24"/>
        </w:rPr>
        <w:t xml:space="preserve"> LHS</w:t>
      </w:r>
      <w:r w:rsidR="00572535">
        <w:rPr>
          <w:rFonts w:cs="Arial"/>
          <w:sz w:val="24"/>
        </w:rPr>
        <w:t xml:space="preserve">. This </w:t>
      </w:r>
      <w:r w:rsidRPr="00A06E0D">
        <w:rPr>
          <w:rFonts w:cs="Arial"/>
          <w:sz w:val="24"/>
        </w:rPr>
        <w:t>offer</w:t>
      </w:r>
      <w:r w:rsidR="00572535">
        <w:rPr>
          <w:rFonts w:cs="Arial"/>
          <w:sz w:val="24"/>
        </w:rPr>
        <w:t>ed</w:t>
      </w:r>
      <w:r w:rsidRPr="00A06E0D">
        <w:rPr>
          <w:rFonts w:cs="Arial"/>
          <w:sz w:val="24"/>
        </w:rPr>
        <w:t xml:space="preserve"> a range of opportunities for local people, communities and wider stakeholders to share their views on the most pressing housing challenges facing Inverclyde, as potential ideas for change and improvement.</w:t>
      </w:r>
      <w:r>
        <w:rPr>
          <w:rFonts w:cs="Arial"/>
          <w:sz w:val="24"/>
        </w:rPr>
        <w:t xml:space="preserve"> Opportunity to engage with the Local Housing Strategy and provide input to the strategy’s formation was widely accessible to all interested parties and residents using the following methods</w:t>
      </w:r>
    </w:p>
    <w:p w14:paraId="02C19B5E" w14:textId="51A1AC05" w:rsidR="00A06E0D" w:rsidRDefault="00A06E0D" w:rsidP="00273771">
      <w:pPr>
        <w:rPr>
          <w:rFonts w:cs="Arial"/>
          <w:sz w:val="24"/>
        </w:rPr>
      </w:pPr>
      <w:r w:rsidRPr="00A06E0D">
        <w:rPr>
          <w:rFonts w:cs="Arial"/>
          <w:b/>
          <w:bCs/>
          <w:sz w:val="24"/>
        </w:rPr>
        <w:t>LHS early engagement survey:</w:t>
      </w:r>
      <w:r w:rsidRPr="00A06E0D">
        <w:rPr>
          <w:rFonts w:cs="Arial"/>
          <w:sz w:val="24"/>
        </w:rPr>
        <w:t xml:space="preserve"> A survey to inform the priorities of the new Local Housing Strategy was made available to communities and residents across Inverclyde, enabling them to express their views on which local housing issues ‘matter most’. The survey was open for 8 weeks from September to November 2022 and was completed by 475 </w:t>
      </w:r>
      <w:r w:rsidR="00B32A86" w:rsidRPr="00A06E0D">
        <w:rPr>
          <w:rFonts w:cs="Arial"/>
          <w:sz w:val="24"/>
        </w:rPr>
        <w:t>residents</w:t>
      </w:r>
      <w:r w:rsidRPr="00A06E0D">
        <w:rPr>
          <w:rFonts w:cs="Arial"/>
          <w:sz w:val="24"/>
        </w:rPr>
        <w:t xml:space="preserve"> and community representatives. The early engagement survey was heavily promoted across Inverclyde Council’s digital and social media channels. It was also promoted via the local press, by Steering Group partners and marketed to employees in Inverclyde Council and the HSCP. The survey was made available online with alternative survey formats on including </w:t>
      </w:r>
      <w:r w:rsidRPr="00A06E0D">
        <w:rPr>
          <w:rFonts w:cs="Arial"/>
          <w:sz w:val="24"/>
        </w:rPr>
        <w:lastRenderedPageBreak/>
        <w:t xml:space="preserve">telephone and freepost options. The survey was also shared via partner agencies of the Inverclyde Council for Voluntary Services, with support available to encourage the participation of </w:t>
      </w:r>
      <w:r w:rsidR="00F47E32" w:rsidRPr="00A06E0D">
        <w:rPr>
          <w:rFonts w:cs="Arial"/>
          <w:sz w:val="24"/>
        </w:rPr>
        <w:t>hard-to-reach</w:t>
      </w:r>
      <w:r w:rsidRPr="00A06E0D">
        <w:rPr>
          <w:rFonts w:cs="Arial"/>
          <w:sz w:val="24"/>
        </w:rPr>
        <w:t xml:space="preserve"> groups</w:t>
      </w:r>
      <w:r>
        <w:rPr>
          <w:rFonts w:cs="Arial"/>
          <w:sz w:val="24"/>
        </w:rPr>
        <w:t>.</w:t>
      </w:r>
    </w:p>
    <w:p w14:paraId="14120B7E" w14:textId="3B03E37C" w:rsidR="00A06E0D" w:rsidRPr="00273771" w:rsidRDefault="00A06E0D" w:rsidP="00273771">
      <w:pPr>
        <w:rPr>
          <w:rFonts w:cs="Arial"/>
          <w:sz w:val="24"/>
        </w:rPr>
      </w:pPr>
      <w:r w:rsidRPr="00A06E0D">
        <w:rPr>
          <w:rFonts w:cs="Arial"/>
          <w:b/>
          <w:bCs/>
          <w:sz w:val="24"/>
        </w:rPr>
        <w:t>Stakeholder conference</w:t>
      </w:r>
      <w:r w:rsidRPr="00A06E0D">
        <w:rPr>
          <w:rFonts w:cs="Arial"/>
          <w:sz w:val="24"/>
        </w:rPr>
        <w:t xml:space="preserve">: To encourage and enable widespread participation, a full day LHS development conference was held in November 2022 via Microsoft Teams. Over 50 partners and stakeholders attended the event, including representatives from public, private, third and community sectors. </w:t>
      </w:r>
    </w:p>
    <w:p w14:paraId="1852BCF5" w14:textId="27A711B8" w:rsidR="00EA2B48" w:rsidRPr="00273771" w:rsidRDefault="0050408F" w:rsidP="00273771">
      <w:pPr>
        <w:pStyle w:val="Heading1"/>
        <w:rPr>
          <w:rFonts w:eastAsia="Times New Roman" w:cs="Arial"/>
        </w:rPr>
      </w:pPr>
      <w:r w:rsidRPr="00273771">
        <w:rPr>
          <w:rFonts w:ascii="Arial" w:eastAsia="Times New Roman" w:hAnsi="Arial" w:cs="Arial"/>
        </w:rPr>
        <w:t>7</w:t>
      </w:r>
      <w:r w:rsidR="00EA2B48" w:rsidRPr="00472A69">
        <w:rPr>
          <w:rFonts w:eastAsia="Times New Roman" w:cs="Arial"/>
        </w:rPr>
        <w:t xml:space="preserve">. </w:t>
      </w:r>
      <w:r w:rsidR="0089791F" w:rsidRPr="00273771">
        <w:rPr>
          <w:rFonts w:ascii="Arial" w:eastAsia="Times New Roman" w:hAnsi="Arial" w:cs="Arial"/>
        </w:rPr>
        <w:t xml:space="preserve">What evidence have </w:t>
      </w:r>
      <w:r w:rsidR="00EA2B48" w:rsidRPr="00273771">
        <w:rPr>
          <w:rFonts w:ascii="Arial" w:eastAsia="Times New Roman" w:hAnsi="Arial" w:cs="Arial"/>
        </w:rPr>
        <w:t>you used to inform</w:t>
      </w:r>
      <w:r w:rsidR="00EA2B48" w:rsidRPr="00273771" w:rsidDel="00EA2B48">
        <w:rPr>
          <w:rFonts w:ascii="Arial" w:eastAsia="Times New Roman" w:hAnsi="Arial" w:cs="Arial"/>
        </w:rPr>
        <w:t xml:space="preserve"> </w:t>
      </w:r>
      <w:r w:rsidR="00EB5BA8" w:rsidRPr="00273771">
        <w:rPr>
          <w:rFonts w:ascii="Arial" w:eastAsia="Times New Roman" w:hAnsi="Arial" w:cs="Arial"/>
        </w:rPr>
        <w:t>your assessment?</w:t>
      </w:r>
      <w:r w:rsidR="00EA2B48" w:rsidRPr="00273771" w:rsidDel="00EA2B48">
        <w:rPr>
          <w:rFonts w:ascii="Arial" w:eastAsia="Times New Roman" w:hAnsi="Arial" w:cs="Arial"/>
        </w:rPr>
        <w:t xml:space="preserve"> </w:t>
      </w:r>
    </w:p>
    <w:p w14:paraId="2614CAE2" w14:textId="1F43D6F7" w:rsidR="00F248EA" w:rsidRDefault="00F248EA" w:rsidP="00EA2B48">
      <w:pPr>
        <w:rPr>
          <w:rFonts w:cs="Arial"/>
          <w:sz w:val="24"/>
        </w:rPr>
      </w:pPr>
      <w:r w:rsidRPr="00F248EA">
        <w:rPr>
          <w:rFonts w:cs="Arial"/>
          <w:sz w:val="24"/>
        </w:rPr>
        <w:t>The Housing (Scotland) Act 2001 (‘the 2001 Act’) places a statutory</w:t>
      </w:r>
      <w:r>
        <w:rPr>
          <w:rFonts w:cs="Arial"/>
          <w:sz w:val="24"/>
        </w:rPr>
        <w:t xml:space="preserve"> </w:t>
      </w:r>
      <w:r w:rsidRPr="00F248EA">
        <w:rPr>
          <w:rFonts w:cs="Arial"/>
          <w:sz w:val="24"/>
        </w:rPr>
        <w:t>requirement on local authorities to produce a LHS that sets out its strategy,</w:t>
      </w:r>
      <w:r>
        <w:rPr>
          <w:rFonts w:cs="Arial"/>
          <w:sz w:val="24"/>
        </w:rPr>
        <w:t xml:space="preserve"> </w:t>
      </w:r>
      <w:r w:rsidRPr="00F248EA">
        <w:rPr>
          <w:rFonts w:cs="Arial"/>
          <w:sz w:val="24"/>
        </w:rPr>
        <w:t>priorities and plans for the delivery of housing and related services. The</w:t>
      </w:r>
      <w:r>
        <w:rPr>
          <w:rFonts w:cs="Arial"/>
          <w:sz w:val="24"/>
        </w:rPr>
        <w:t xml:space="preserve"> </w:t>
      </w:r>
      <w:r w:rsidRPr="00F248EA">
        <w:rPr>
          <w:rFonts w:cs="Arial"/>
          <w:sz w:val="24"/>
        </w:rPr>
        <w:t>2001 Act states that the LHS must be supported by an assessment of</w:t>
      </w:r>
      <w:r>
        <w:rPr>
          <w:rFonts w:cs="Arial"/>
          <w:sz w:val="24"/>
        </w:rPr>
        <w:t xml:space="preserve"> </w:t>
      </w:r>
      <w:r w:rsidRPr="00F248EA">
        <w:rPr>
          <w:rFonts w:cs="Arial"/>
          <w:sz w:val="24"/>
        </w:rPr>
        <w:t>housing provision including the need and demand for housing and related</w:t>
      </w:r>
      <w:r>
        <w:rPr>
          <w:rFonts w:cs="Arial"/>
          <w:sz w:val="24"/>
        </w:rPr>
        <w:t xml:space="preserve"> </w:t>
      </w:r>
      <w:r w:rsidRPr="00F248EA">
        <w:rPr>
          <w:rFonts w:cs="Arial"/>
          <w:sz w:val="24"/>
        </w:rPr>
        <w:t>services, that it must be submitted to Scottish Ministers, and that local</w:t>
      </w:r>
      <w:r>
        <w:rPr>
          <w:rFonts w:cs="Arial"/>
          <w:sz w:val="24"/>
        </w:rPr>
        <w:t xml:space="preserve"> </w:t>
      </w:r>
      <w:r w:rsidRPr="00F248EA">
        <w:rPr>
          <w:rFonts w:cs="Arial"/>
          <w:sz w:val="24"/>
        </w:rPr>
        <w:t>authorities must keep their LHS under review.</w:t>
      </w:r>
    </w:p>
    <w:p w14:paraId="60E597EC" w14:textId="646A5D5C" w:rsidR="00845917" w:rsidRDefault="00845917" w:rsidP="00845917">
      <w:pPr>
        <w:rPr>
          <w:rFonts w:cs="Arial"/>
          <w:sz w:val="24"/>
        </w:rPr>
      </w:pPr>
      <w:r w:rsidRPr="00845917">
        <w:rPr>
          <w:rFonts w:cs="Arial"/>
          <w:sz w:val="24"/>
        </w:rPr>
        <w:t>The Housing Need and Demand Assessment (HNDA) is a primary element of</w:t>
      </w:r>
      <w:r>
        <w:rPr>
          <w:rFonts w:cs="Arial"/>
          <w:sz w:val="24"/>
        </w:rPr>
        <w:t xml:space="preserve"> </w:t>
      </w:r>
      <w:r w:rsidRPr="00845917">
        <w:rPr>
          <w:rFonts w:cs="Arial"/>
          <w:sz w:val="24"/>
        </w:rPr>
        <w:t>the evidence base for the LHS and Development Plans, and its findings</w:t>
      </w:r>
      <w:r>
        <w:rPr>
          <w:rFonts w:cs="Arial"/>
          <w:sz w:val="24"/>
        </w:rPr>
        <w:t xml:space="preserve"> </w:t>
      </w:r>
      <w:r w:rsidRPr="00845917">
        <w:rPr>
          <w:rFonts w:cs="Arial"/>
          <w:sz w:val="24"/>
        </w:rPr>
        <w:t>should help determine outcomes and priorities for future housing and related</w:t>
      </w:r>
      <w:r>
        <w:rPr>
          <w:rFonts w:cs="Arial"/>
          <w:sz w:val="24"/>
        </w:rPr>
        <w:t xml:space="preserve"> </w:t>
      </w:r>
      <w:r w:rsidRPr="00845917">
        <w:rPr>
          <w:rFonts w:cs="Arial"/>
          <w:sz w:val="24"/>
        </w:rPr>
        <w:t>service delivery.</w:t>
      </w:r>
      <w:r>
        <w:rPr>
          <w:rFonts w:cs="Arial"/>
          <w:sz w:val="24"/>
        </w:rPr>
        <w:t xml:space="preserve"> </w:t>
      </w:r>
      <w:r w:rsidRPr="00845917">
        <w:rPr>
          <w:rFonts w:cs="Arial"/>
          <w:sz w:val="24"/>
        </w:rPr>
        <w:t>HNDAs are designed to give broad, long-run estimates of what future housing need might be, rather than precision estimates.  The</w:t>
      </w:r>
      <w:r>
        <w:rPr>
          <w:rFonts w:cs="Arial"/>
          <w:sz w:val="24"/>
        </w:rPr>
        <w:t xml:space="preserve"> Centre for Housing Market Analysis</w:t>
      </w:r>
      <w:r w:rsidRPr="00845917">
        <w:rPr>
          <w:rFonts w:cs="Arial"/>
          <w:sz w:val="24"/>
        </w:rPr>
        <w:t xml:space="preserve"> HNDA Tool enables local authorities to develop long-term strategic views of housing need and demand based on nationally produced data sets.</w:t>
      </w:r>
    </w:p>
    <w:p w14:paraId="2094AB85" w14:textId="602FE3CF" w:rsidR="00273771" w:rsidRDefault="00722960" w:rsidP="00EA2B48">
      <w:pPr>
        <w:rPr>
          <w:rFonts w:cs="Arial"/>
          <w:sz w:val="24"/>
        </w:rPr>
      </w:pPr>
      <w:r>
        <w:rPr>
          <w:rFonts w:cs="Arial"/>
          <w:sz w:val="24"/>
        </w:rPr>
        <w:t>T</w:t>
      </w:r>
      <w:r w:rsidRPr="00722960">
        <w:rPr>
          <w:rFonts w:cs="Arial"/>
          <w:sz w:val="24"/>
        </w:rPr>
        <w:t>he</w:t>
      </w:r>
      <w:r w:rsidR="00845917">
        <w:rPr>
          <w:rFonts w:cs="Arial"/>
          <w:sz w:val="24"/>
        </w:rPr>
        <w:t xml:space="preserve"> Inverclyde</w:t>
      </w:r>
      <w:r w:rsidRPr="00722960">
        <w:rPr>
          <w:rFonts w:cs="Arial"/>
          <w:sz w:val="24"/>
        </w:rPr>
        <w:t xml:space="preserve"> LHS</w:t>
      </w:r>
      <w:r w:rsidR="00845917">
        <w:rPr>
          <w:rFonts w:cs="Arial"/>
          <w:sz w:val="24"/>
        </w:rPr>
        <w:t xml:space="preserve"> 23-38</w:t>
      </w:r>
      <w:r w:rsidRPr="00722960">
        <w:rPr>
          <w:rFonts w:cs="Arial"/>
          <w:sz w:val="24"/>
        </w:rPr>
        <w:t xml:space="preserve"> has been informed by evidence from the draft 2022 Glasgow City Region Housing Need and Demand Assessment (HNDA</w:t>
      </w:r>
      <w:r w:rsidR="00845917">
        <w:rPr>
          <w:rFonts w:cs="Arial"/>
          <w:sz w:val="24"/>
        </w:rPr>
        <w:t>3</w:t>
      </w:r>
      <w:r w:rsidRPr="00722960">
        <w:rPr>
          <w:rFonts w:cs="Arial"/>
          <w:sz w:val="24"/>
        </w:rPr>
        <w:t>). HNDA3 provides housing estimates for each of the eight local authorities that make up the G</w:t>
      </w:r>
      <w:r w:rsidR="00845917">
        <w:rPr>
          <w:rFonts w:cs="Arial"/>
          <w:sz w:val="24"/>
        </w:rPr>
        <w:t xml:space="preserve">lasgow </w:t>
      </w:r>
      <w:r w:rsidRPr="00722960">
        <w:rPr>
          <w:rFonts w:cs="Arial"/>
          <w:sz w:val="24"/>
        </w:rPr>
        <w:t>C</w:t>
      </w:r>
      <w:r w:rsidR="00845917">
        <w:rPr>
          <w:rFonts w:cs="Arial"/>
          <w:sz w:val="24"/>
        </w:rPr>
        <w:t xml:space="preserve">ity </w:t>
      </w:r>
      <w:r w:rsidRPr="00722960">
        <w:rPr>
          <w:rFonts w:cs="Arial"/>
          <w:sz w:val="24"/>
        </w:rPr>
        <w:t>R</w:t>
      </w:r>
      <w:r w:rsidR="00845917">
        <w:rPr>
          <w:rFonts w:cs="Arial"/>
          <w:sz w:val="24"/>
        </w:rPr>
        <w:t>egion</w:t>
      </w:r>
      <w:r w:rsidRPr="00722960">
        <w:rPr>
          <w:rFonts w:cs="Arial"/>
          <w:sz w:val="24"/>
        </w:rPr>
        <w:t xml:space="preserve"> area (including Inverclyde) as the basis for setting Housing Supply Targets in the LHS and Housing Land Requirements in the LDP.</w:t>
      </w:r>
    </w:p>
    <w:p w14:paraId="21C7A954" w14:textId="77777777" w:rsidR="005C1208" w:rsidRDefault="005C1208" w:rsidP="00EA2B48">
      <w:pPr>
        <w:rPr>
          <w:rFonts w:cs="Arial"/>
          <w:sz w:val="24"/>
        </w:rPr>
      </w:pPr>
      <w:r>
        <w:rPr>
          <w:rFonts w:cs="Arial"/>
          <w:sz w:val="24"/>
        </w:rPr>
        <w:t>The LHS was also informed by the use of national statistics, including:</w:t>
      </w:r>
    </w:p>
    <w:p w14:paraId="312343E4" w14:textId="41B72113" w:rsidR="005C1208" w:rsidRPr="005C1208" w:rsidRDefault="005C1208" w:rsidP="005C1208">
      <w:pPr>
        <w:pStyle w:val="ListParagraph"/>
        <w:numPr>
          <w:ilvl w:val="0"/>
          <w:numId w:val="16"/>
        </w:numPr>
        <w:rPr>
          <w:rFonts w:cs="Arial"/>
          <w:sz w:val="24"/>
        </w:rPr>
      </w:pPr>
      <w:r w:rsidRPr="005C1208">
        <w:rPr>
          <w:rFonts w:cs="Arial"/>
          <w:sz w:val="24"/>
        </w:rPr>
        <w:t>Population</w:t>
      </w:r>
      <w:r>
        <w:rPr>
          <w:rFonts w:cs="Arial"/>
          <w:sz w:val="24"/>
        </w:rPr>
        <w:t xml:space="preserve"> projections,</w:t>
      </w:r>
    </w:p>
    <w:p w14:paraId="28855EB7" w14:textId="297C9F1C" w:rsidR="005C1208" w:rsidRDefault="005C1208" w:rsidP="005C1208">
      <w:pPr>
        <w:pStyle w:val="ListParagraph"/>
        <w:numPr>
          <w:ilvl w:val="0"/>
          <w:numId w:val="16"/>
        </w:numPr>
        <w:rPr>
          <w:rFonts w:cs="Arial"/>
          <w:sz w:val="24"/>
        </w:rPr>
      </w:pPr>
      <w:r>
        <w:rPr>
          <w:rFonts w:cs="Arial"/>
          <w:sz w:val="24"/>
        </w:rPr>
        <w:t>H</w:t>
      </w:r>
      <w:r w:rsidRPr="005C1208">
        <w:rPr>
          <w:rFonts w:cs="Arial"/>
          <w:sz w:val="24"/>
        </w:rPr>
        <w:t xml:space="preserve">ousehold projections, </w:t>
      </w:r>
    </w:p>
    <w:p w14:paraId="181D03CD" w14:textId="48B860FB" w:rsidR="005C1208" w:rsidRDefault="005C1208" w:rsidP="005C1208">
      <w:pPr>
        <w:pStyle w:val="ListParagraph"/>
        <w:numPr>
          <w:ilvl w:val="0"/>
          <w:numId w:val="16"/>
        </w:numPr>
        <w:rPr>
          <w:rFonts w:cs="Arial"/>
          <w:sz w:val="24"/>
        </w:rPr>
      </w:pPr>
      <w:r>
        <w:rPr>
          <w:rFonts w:cs="Arial"/>
          <w:sz w:val="24"/>
        </w:rPr>
        <w:t>House Sale data, and</w:t>
      </w:r>
    </w:p>
    <w:p w14:paraId="34DF99C1" w14:textId="12193EA6" w:rsidR="00B5719B" w:rsidRPr="00B5719B" w:rsidRDefault="005C1208" w:rsidP="00B5719B">
      <w:pPr>
        <w:pStyle w:val="ListParagraph"/>
        <w:numPr>
          <w:ilvl w:val="0"/>
          <w:numId w:val="16"/>
        </w:numPr>
        <w:rPr>
          <w:rFonts w:cs="Arial"/>
          <w:sz w:val="24"/>
        </w:rPr>
      </w:pPr>
      <w:r>
        <w:rPr>
          <w:rFonts w:cs="Arial"/>
          <w:sz w:val="24"/>
        </w:rPr>
        <w:t>H</w:t>
      </w:r>
      <w:r w:rsidRPr="005C1208">
        <w:rPr>
          <w:rFonts w:cs="Arial"/>
          <w:sz w:val="24"/>
        </w:rPr>
        <w:t>ousing register data shared with the Council by our partners within the RSL sector.</w:t>
      </w:r>
    </w:p>
    <w:p w14:paraId="525CC3F8" w14:textId="1439250C" w:rsidR="00822ADB" w:rsidRPr="005C1208" w:rsidRDefault="00845917" w:rsidP="005C1208">
      <w:pPr>
        <w:rPr>
          <w:rFonts w:cs="Arial"/>
          <w:sz w:val="24"/>
        </w:rPr>
      </w:pPr>
      <w:r w:rsidRPr="005C1208">
        <w:rPr>
          <w:rFonts w:cs="Arial"/>
          <w:bCs/>
          <w:sz w:val="24"/>
        </w:rPr>
        <w:t xml:space="preserve">Furthermore, where the HNDA and LHS process identify </w:t>
      </w:r>
      <w:r w:rsidR="00367E94" w:rsidRPr="005C1208">
        <w:rPr>
          <w:rFonts w:cs="Arial"/>
          <w:bCs/>
          <w:sz w:val="24"/>
        </w:rPr>
        <w:t>shortages</w:t>
      </w:r>
      <w:r w:rsidRPr="005C1208">
        <w:rPr>
          <w:rFonts w:cs="Arial"/>
          <w:bCs/>
          <w:sz w:val="24"/>
        </w:rPr>
        <w:t xml:space="preserve"> of affordable or specialist housing types in parts or all of the areas, proposals for this should be clearly set out in the LHS</w:t>
      </w:r>
      <w:r w:rsidR="00822ADB" w:rsidRPr="005C1208">
        <w:rPr>
          <w:rFonts w:cs="Arial"/>
          <w:bCs/>
          <w:sz w:val="24"/>
        </w:rPr>
        <w:t>, as per guidance</w:t>
      </w:r>
      <w:r w:rsidRPr="005C1208">
        <w:rPr>
          <w:rFonts w:cs="Arial"/>
          <w:bCs/>
          <w:sz w:val="24"/>
        </w:rPr>
        <w:t>.</w:t>
      </w:r>
      <w:r w:rsidR="00822ADB" w:rsidRPr="005C1208">
        <w:rPr>
          <w:rFonts w:cs="Arial"/>
          <w:bCs/>
          <w:sz w:val="24"/>
        </w:rPr>
        <w:t xml:space="preserve"> </w:t>
      </w:r>
    </w:p>
    <w:p w14:paraId="5388467F" w14:textId="1C6185FA" w:rsidR="00845917" w:rsidRDefault="00822ADB" w:rsidP="00EA2B48">
      <w:pPr>
        <w:rPr>
          <w:rFonts w:cs="Arial"/>
          <w:bCs/>
          <w:sz w:val="24"/>
        </w:rPr>
      </w:pPr>
      <w:r>
        <w:rPr>
          <w:rFonts w:cs="Arial"/>
          <w:bCs/>
          <w:sz w:val="24"/>
        </w:rPr>
        <w:t xml:space="preserve">A specialist housing review was undertaken in Inverclyde prior to the development of the LHS and included extensive consultation with HSCP partners. This process included analysis of the housing requirements of all specialist housing groups listed within the Scottish Government’s LHS guidance. This work required service leads within the HSCP to provide future estimations </w:t>
      </w:r>
      <w:r w:rsidR="00531606">
        <w:rPr>
          <w:rFonts w:cs="Arial"/>
          <w:bCs/>
          <w:sz w:val="24"/>
        </w:rPr>
        <w:t>of the housing</w:t>
      </w:r>
      <w:r>
        <w:rPr>
          <w:rFonts w:cs="Arial"/>
          <w:bCs/>
          <w:sz w:val="24"/>
        </w:rPr>
        <w:t xml:space="preserve"> requirements for their service. Children and Young People are among these groups for consideration. The subsequent action noted in </w:t>
      </w:r>
      <w:r w:rsidR="00572535">
        <w:rPr>
          <w:rFonts w:cs="Arial"/>
          <w:bCs/>
          <w:sz w:val="24"/>
        </w:rPr>
        <w:t>question</w:t>
      </w:r>
      <w:r>
        <w:rPr>
          <w:rFonts w:cs="Arial"/>
          <w:bCs/>
          <w:sz w:val="24"/>
        </w:rPr>
        <w:t xml:space="preserve"> 3 was included within the action plan to address this area. </w:t>
      </w:r>
    </w:p>
    <w:p w14:paraId="1C143213" w14:textId="6CB41E34" w:rsidR="00B5719B" w:rsidRDefault="00B5719B" w:rsidP="00EA2B48">
      <w:pPr>
        <w:rPr>
          <w:rFonts w:cs="Arial"/>
          <w:bCs/>
          <w:sz w:val="24"/>
        </w:rPr>
      </w:pPr>
      <w:r w:rsidRPr="00B5719B">
        <w:rPr>
          <w:rFonts w:cs="Arial"/>
          <w:bCs/>
          <w:sz w:val="24"/>
        </w:rPr>
        <w:lastRenderedPageBreak/>
        <w:t>The LHS is set within the wider Community Planning framework for the Council and its partners</w:t>
      </w:r>
      <w:r>
        <w:rPr>
          <w:rFonts w:cs="Arial"/>
          <w:bCs/>
          <w:sz w:val="24"/>
        </w:rPr>
        <w:t>, the following strategic documents were</w:t>
      </w:r>
      <w:r w:rsidR="00367E94">
        <w:rPr>
          <w:rFonts w:cs="Arial"/>
          <w:bCs/>
          <w:sz w:val="24"/>
        </w:rPr>
        <w:t xml:space="preserve"> also</w:t>
      </w:r>
      <w:r>
        <w:rPr>
          <w:rFonts w:cs="Arial"/>
          <w:bCs/>
          <w:sz w:val="24"/>
        </w:rPr>
        <w:t xml:space="preserve"> used to inform the production of the LHS and subsequent actions:</w:t>
      </w:r>
    </w:p>
    <w:p w14:paraId="5CFF6BD4" w14:textId="0500E0F5" w:rsidR="00B5719B" w:rsidRDefault="00B5719B" w:rsidP="00B5719B">
      <w:pPr>
        <w:pStyle w:val="ListParagraph"/>
        <w:numPr>
          <w:ilvl w:val="0"/>
          <w:numId w:val="17"/>
        </w:numPr>
        <w:rPr>
          <w:rFonts w:cs="Arial"/>
          <w:bCs/>
          <w:sz w:val="24"/>
        </w:rPr>
      </w:pPr>
      <w:r>
        <w:rPr>
          <w:rFonts w:cs="Arial"/>
          <w:bCs/>
          <w:sz w:val="24"/>
        </w:rPr>
        <w:t xml:space="preserve">Inverclyde </w:t>
      </w:r>
      <w:r w:rsidRPr="00B5719B">
        <w:rPr>
          <w:rFonts w:cs="Arial"/>
          <w:bCs/>
          <w:sz w:val="24"/>
        </w:rPr>
        <w:t>Housing Contribution Statement</w:t>
      </w:r>
      <w:r>
        <w:rPr>
          <w:rFonts w:cs="Arial"/>
          <w:bCs/>
          <w:sz w:val="24"/>
        </w:rPr>
        <w:t xml:space="preserve"> 2019-2024</w:t>
      </w:r>
      <w:r w:rsidR="00397E90">
        <w:rPr>
          <w:rFonts w:cs="Arial"/>
          <w:bCs/>
          <w:sz w:val="24"/>
        </w:rPr>
        <w:t>,</w:t>
      </w:r>
    </w:p>
    <w:p w14:paraId="6A6C0068" w14:textId="0DC2BBCC" w:rsidR="00B5719B" w:rsidRDefault="00B5719B" w:rsidP="00B5719B">
      <w:pPr>
        <w:pStyle w:val="ListParagraph"/>
        <w:numPr>
          <w:ilvl w:val="0"/>
          <w:numId w:val="17"/>
        </w:numPr>
        <w:rPr>
          <w:rFonts w:cs="Arial"/>
          <w:bCs/>
          <w:sz w:val="24"/>
        </w:rPr>
      </w:pPr>
      <w:r>
        <w:rPr>
          <w:rFonts w:cs="Arial"/>
          <w:bCs/>
          <w:sz w:val="24"/>
        </w:rPr>
        <w:t>Inverclyde</w:t>
      </w:r>
      <w:r w:rsidRPr="00B5719B">
        <w:rPr>
          <w:rFonts w:cs="Arial"/>
          <w:bCs/>
          <w:sz w:val="24"/>
        </w:rPr>
        <w:t xml:space="preserve"> Local Development Plan</w:t>
      </w:r>
      <w:r>
        <w:rPr>
          <w:rFonts w:cs="Arial"/>
          <w:bCs/>
          <w:sz w:val="24"/>
        </w:rPr>
        <w:t xml:space="preserve"> </w:t>
      </w:r>
      <w:r w:rsidR="00397E90">
        <w:rPr>
          <w:rFonts w:cs="Arial"/>
          <w:bCs/>
          <w:sz w:val="24"/>
        </w:rPr>
        <w:t>2,</w:t>
      </w:r>
    </w:p>
    <w:p w14:paraId="56AB5219" w14:textId="02AB3BB5" w:rsidR="00B5719B" w:rsidRDefault="00B5719B" w:rsidP="00B5719B">
      <w:pPr>
        <w:pStyle w:val="ListParagraph"/>
        <w:numPr>
          <w:ilvl w:val="0"/>
          <w:numId w:val="17"/>
        </w:numPr>
        <w:rPr>
          <w:rFonts w:cs="Arial"/>
          <w:bCs/>
          <w:sz w:val="24"/>
        </w:rPr>
      </w:pPr>
      <w:r>
        <w:rPr>
          <w:rFonts w:cs="Arial"/>
          <w:bCs/>
          <w:sz w:val="24"/>
        </w:rPr>
        <w:t xml:space="preserve">Inverclyde </w:t>
      </w:r>
      <w:r w:rsidRPr="00B5719B">
        <w:rPr>
          <w:rFonts w:cs="Arial"/>
          <w:bCs/>
          <w:sz w:val="24"/>
        </w:rPr>
        <w:t>Strategic Commissioning Plan</w:t>
      </w:r>
      <w:r w:rsidR="00367E94">
        <w:rPr>
          <w:rFonts w:cs="Arial"/>
          <w:bCs/>
          <w:sz w:val="24"/>
        </w:rPr>
        <w:t xml:space="preserve"> 2019-2024</w:t>
      </w:r>
      <w:r w:rsidR="00397E90">
        <w:rPr>
          <w:rFonts w:cs="Arial"/>
          <w:bCs/>
          <w:sz w:val="24"/>
        </w:rPr>
        <w:t>,</w:t>
      </w:r>
    </w:p>
    <w:p w14:paraId="3DD28A3E" w14:textId="3D8E4CDF" w:rsidR="00B5719B" w:rsidRPr="00564594" w:rsidRDefault="00397E90" w:rsidP="00EA2B48">
      <w:pPr>
        <w:pStyle w:val="ListParagraph"/>
        <w:numPr>
          <w:ilvl w:val="0"/>
          <w:numId w:val="17"/>
        </w:numPr>
        <w:rPr>
          <w:rFonts w:cs="Arial"/>
          <w:bCs/>
          <w:sz w:val="24"/>
        </w:rPr>
      </w:pPr>
      <w:r>
        <w:rPr>
          <w:rFonts w:cs="Arial"/>
          <w:bCs/>
          <w:sz w:val="24"/>
        </w:rPr>
        <w:t xml:space="preserve">Inverclyde </w:t>
      </w:r>
      <w:r w:rsidR="00B5719B" w:rsidRPr="00B5719B">
        <w:rPr>
          <w:rFonts w:cs="Arial"/>
          <w:bCs/>
          <w:sz w:val="24"/>
        </w:rPr>
        <w:t>Rapid Rehousing Transition Plan</w:t>
      </w:r>
      <w:r>
        <w:rPr>
          <w:rFonts w:cs="Arial"/>
          <w:bCs/>
          <w:sz w:val="24"/>
        </w:rPr>
        <w:t>.</w:t>
      </w:r>
    </w:p>
    <w:p w14:paraId="4470F210" w14:textId="0D32E0D7" w:rsidR="00CC369A" w:rsidRPr="00273771" w:rsidRDefault="00D528C3" w:rsidP="00273771">
      <w:pPr>
        <w:pStyle w:val="Heading1"/>
        <w:rPr>
          <w:rFonts w:ascii="Arial" w:eastAsia="Times New Roman" w:hAnsi="Arial" w:cs="Arial"/>
        </w:rPr>
      </w:pPr>
      <w:r w:rsidRPr="00273771">
        <w:rPr>
          <w:rFonts w:ascii="Arial" w:hAnsi="Arial" w:cs="Arial"/>
        </w:rPr>
        <w:t>8</w:t>
      </w:r>
      <w:r w:rsidR="0089791F" w:rsidRPr="00273771">
        <w:rPr>
          <w:rFonts w:ascii="Arial" w:hAnsi="Arial" w:cs="Arial"/>
        </w:rPr>
        <w:t xml:space="preserve">. </w:t>
      </w:r>
      <w:r w:rsidR="00EA2B48" w:rsidRPr="00273771">
        <w:rPr>
          <w:rFonts w:ascii="Arial" w:hAnsi="Arial" w:cs="Arial"/>
        </w:rPr>
        <w:t>How will the impact of the policy/measure be monitored?</w:t>
      </w:r>
    </w:p>
    <w:p w14:paraId="24205175" w14:textId="0F5A6847" w:rsidR="00F47E32" w:rsidRDefault="00F47E32" w:rsidP="00273771">
      <w:pPr>
        <w:spacing w:after="0"/>
        <w:rPr>
          <w:rFonts w:cs="Arial"/>
          <w:sz w:val="24"/>
        </w:rPr>
      </w:pPr>
    </w:p>
    <w:p w14:paraId="58A73508" w14:textId="20E7E25C" w:rsidR="00624174" w:rsidRDefault="00F47E32" w:rsidP="00273771">
      <w:pPr>
        <w:spacing w:after="0"/>
        <w:rPr>
          <w:rFonts w:cs="Arial"/>
          <w:sz w:val="24"/>
        </w:rPr>
      </w:pPr>
      <w:r w:rsidRPr="00F47E32">
        <w:rPr>
          <w:rFonts w:cs="Arial"/>
          <w:b/>
          <w:bCs/>
          <w:sz w:val="24"/>
        </w:rPr>
        <w:t>Strategic governance:</w:t>
      </w:r>
      <w:r w:rsidRPr="00F47E32">
        <w:rPr>
          <w:rFonts w:cs="Arial"/>
          <w:sz w:val="24"/>
        </w:rPr>
        <w:t xml:space="preserve"> The Inverclyde LHS development process </w:t>
      </w:r>
      <w:r>
        <w:rPr>
          <w:rFonts w:cs="Arial"/>
          <w:sz w:val="24"/>
        </w:rPr>
        <w:t xml:space="preserve">was </w:t>
      </w:r>
      <w:r w:rsidRPr="00F47E32">
        <w:rPr>
          <w:rFonts w:cs="Arial"/>
          <w:sz w:val="24"/>
        </w:rPr>
        <w:t>led by the LHS Steering Group which provides a multi-agency governance framework for the development and implementation of the LHS. Representatives include partners from Inverclyde Council, (Safer Communities, Planning, Housing Strategy, Regeneration and Planning and Performance, Alcohol and Drug and Homelessness Services), Registered Social Landlords and the Voluntary Sector.</w:t>
      </w:r>
      <w:r w:rsidR="00624174">
        <w:rPr>
          <w:rFonts w:cs="Arial"/>
          <w:sz w:val="24"/>
        </w:rPr>
        <w:t xml:space="preserve"> </w:t>
      </w:r>
    </w:p>
    <w:p w14:paraId="7AE39745" w14:textId="082F2695" w:rsidR="00624174" w:rsidRDefault="00624174" w:rsidP="00273771">
      <w:pPr>
        <w:spacing w:after="0"/>
        <w:rPr>
          <w:rFonts w:cs="Arial"/>
          <w:sz w:val="24"/>
        </w:rPr>
      </w:pPr>
    </w:p>
    <w:p w14:paraId="13E7E6FE" w14:textId="4E0F40A1" w:rsidR="00624174" w:rsidRDefault="00624174" w:rsidP="00273771">
      <w:pPr>
        <w:spacing w:after="0"/>
        <w:rPr>
          <w:rFonts w:cs="Arial"/>
          <w:sz w:val="24"/>
        </w:rPr>
      </w:pPr>
      <w:r>
        <w:rPr>
          <w:rFonts w:cs="Arial"/>
          <w:sz w:val="24"/>
        </w:rPr>
        <w:t>These governance arrangements will continue following the publication</w:t>
      </w:r>
      <w:r w:rsidR="00B5719B">
        <w:rPr>
          <w:rFonts w:cs="Arial"/>
          <w:sz w:val="24"/>
        </w:rPr>
        <w:t xml:space="preserve"> of</w:t>
      </w:r>
      <w:r>
        <w:rPr>
          <w:rFonts w:cs="Arial"/>
          <w:sz w:val="24"/>
        </w:rPr>
        <w:t xml:space="preserve"> the LHS to monitor the ongoing delivery of the LHS action plan. Of particular interest to this assessment will be the action identified previously:</w:t>
      </w:r>
    </w:p>
    <w:p w14:paraId="2E426612" w14:textId="4452859F" w:rsidR="00624174" w:rsidRDefault="00624174" w:rsidP="00273771">
      <w:pPr>
        <w:spacing w:after="0"/>
        <w:rPr>
          <w:rFonts w:cs="Arial"/>
          <w:sz w:val="24"/>
        </w:rPr>
      </w:pPr>
    </w:p>
    <w:p w14:paraId="2CDD10BC" w14:textId="70242AAC" w:rsidR="00624174" w:rsidRDefault="00624174" w:rsidP="00273771">
      <w:pPr>
        <w:spacing w:after="0"/>
        <w:rPr>
          <w:rFonts w:cs="Arial"/>
          <w:i/>
          <w:iCs/>
          <w:sz w:val="24"/>
        </w:rPr>
      </w:pPr>
      <w:r>
        <w:rPr>
          <w:rFonts w:cs="Arial"/>
          <w:i/>
          <w:iCs/>
          <w:sz w:val="24"/>
        </w:rPr>
        <w:t>‘</w:t>
      </w:r>
      <w:r w:rsidRPr="00624174">
        <w:rPr>
          <w:rFonts w:cs="Arial"/>
          <w:i/>
          <w:iCs/>
          <w:sz w:val="24"/>
        </w:rPr>
        <w:t>Continue to improve housing outcomes across a range of measures for young people, including care leavers and young adults with complex needs</w:t>
      </w:r>
      <w:r>
        <w:rPr>
          <w:rFonts w:cs="Arial"/>
          <w:i/>
          <w:iCs/>
          <w:sz w:val="24"/>
        </w:rPr>
        <w:t>.’</w:t>
      </w:r>
    </w:p>
    <w:p w14:paraId="3685F954" w14:textId="4CBAD445" w:rsidR="00624174" w:rsidRDefault="00624174" w:rsidP="00273771">
      <w:pPr>
        <w:spacing w:after="0"/>
        <w:rPr>
          <w:rFonts w:cs="Arial"/>
          <w:i/>
          <w:iCs/>
          <w:sz w:val="24"/>
        </w:rPr>
      </w:pPr>
    </w:p>
    <w:p w14:paraId="366E4338" w14:textId="335D46F2" w:rsidR="00624174" w:rsidRPr="00624174" w:rsidRDefault="00624174" w:rsidP="00273771">
      <w:pPr>
        <w:spacing w:after="0"/>
        <w:rPr>
          <w:rFonts w:cs="Arial"/>
          <w:sz w:val="24"/>
        </w:rPr>
      </w:pPr>
      <w:r>
        <w:rPr>
          <w:rFonts w:cs="Arial"/>
          <w:sz w:val="24"/>
        </w:rPr>
        <w:t xml:space="preserve">Inverclyde Council, </w:t>
      </w:r>
      <w:r w:rsidR="00572535">
        <w:rPr>
          <w:rFonts w:cs="Arial"/>
          <w:sz w:val="24"/>
        </w:rPr>
        <w:t>HSCP</w:t>
      </w:r>
      <w:r>
        <w:rPr>
          <w:rFonts w:cs="Arial"/>
          <w:sz w:val="24"/>
        </w:rPr>
        <w:t xml:space="preserve"> and partners within the RSL sector are responsible for </w:t>
      </w:r>
      <w:r w:rsidRPr="00624174">
        <w:rPr>
          <w:rFonts w:cs="Arial"/>
          <w:sz w:val="24"/>
        </w:rPr>
        <w:t>safeguard</w:t>
      </w:r>
      <w:r>
        <w:rPr>
          <w:rFonts w:cs="Arial"/>
          <w:sz w:val="24"/>
        </w:rPr>
        <w:t>ing</w:t>
      </w:r>
      <w:r w:rsidRPr="00624174">
        <w:rPr>
          <w:rFonts w:cs="Arial"/>
          <w:sz w:val="24"/>
        </w:rPr>
        <w:t>, support</w:t>
      </w:r>
      <w:r>
        <w:rPr>
          <w:rFonts w:cs="Arial"/>
          <w:sz w:val="24"/>
        </w:rPr>
        <w:t>ing</w:t>
      </w:r>
      <w:r w:rsidRPr="00624174">
        <w:rPr>
          <w:rFonts w:cs="Arial"/>
          <w:sz w:val="24"/>
        </w:rPr>
        <w:t xml:space="preserve"> and promot</w:t>
      </w:r>
      <w:r>
        <w:rPr>
          <w:rFonts w:cs="Arial"/>
          <w:sz w:val="24"/>
        </w:rPr>
        <w:t>ing</w:t>
      </w:r>
      <w:r w:rsidRPr="00624174">
        <w:rPr>
          <w:rFonts w:cs="Arial"/>
          <w:sz w:val="24"/>
        </w:rPr>
        <w:t xml:space="preserve"> the wellbeing of children</w:t>
      </w:r>
      <w:r>
        <w:rPr>
          <w:rFonts w:cs="Arial"/>
          <w:sz w:val="24"/>
        </w:rPr>
        <w:t xml:space="preserve">. This action will be monitored and reported on through the LHS strategic governance arrangements and will be regularly monitored through annual updates of the LHS as per Scottish Government guidance. </w:t>
      </w:r>
    </w:p>
    <w:p w14:paraId="34C3A7EE" w14:textId="1C7778E0" w:rsidR="003018EC" w:rsidRPr="00572535" w:rsidRDefault="00D528C3" w:rsidP="00572535">
      <w:pPr>
        <w:pStyle w:val="Heading1"/>
        <w:spacing w:after="240"/>
        <w:rPr>
          <w:rFonts w:ascii="Arial" w:hAnsi="Arial" w:cs="Arial"/>
          <w:sz w:val="28"/>
          <w:szCs w:val="28"/>
        </w:rPr>
      </w:pPr>
      <w:r w:rsidRPr="003018EC">
        <w:rPr>
          <w:rFonts w:ascii="Arial" w:hAnsi="Arial" w:cs="Arial"/>
          <w:sz w:val="28"/>
          <w:szCs w:val="28"/>
        </w:rPr>
        <w:t>9</w:t>
      </w:r>
      <w:r w:rsidR="0089791F" w:rsidRPr="003018EC">
        <w:rPr>
          <w:rFonts w:ascii="Arial" w:hAnsi="Arial" w:cs="Arial"/>
          <w:sz w:val="28"/>
          <w:szCs w:val="28"/>
        </w:rPr>
        <w:t xml:space="preserve">. </w:t>
      </w:r>
      <w:r w:rsidR="00A85C4F" w:rsidRPr="003018EC">
        <w:rPr>
          <w:rFonts w:ascii="Arial" w:hAnsi="Arial" w:cs="Arial"/>
          <w:sz w:val="28"/>
          <w:szCs w:val="28"/>
        </w:rPr>
        <w:t>How will you communicate to children and young people the impact of the policy/measure on their rights?</w:t>
      </w:r>
    </w:p>
    <w:p w14:paraId="62D7757D" w14:textId="12CF9CDF" w:rsidR="00243897" w:rsidRPr="003018EC" w:rsidRDefault="00243897" w:rsidP="00273771">
      <w:pPr>
        <w:rPr>
          <w:sz w:val="24"/>
          <w:szCs w:val="24"/>
        </w:rPr>
      </w:pPr>
      <w:r w:rsidRPr="003018EC">
        <w:rPr>
          <w:sz w:val="24"/>
          <w:szCs w:val="24"/>
        </w:rPr>
        <w:t xml:space="preserve">Following a stakeholder consultation and Scottish Government peer review process, the Inverclyde LHS will be made publicly available to all residents and accessible via the Inverclyde Council website. Comments on the strategy will be welcomed </w:t>
      </w:r>
      <w:r w:rsidR="003018EC" w:rsidRPr="003018EC">
        <w:rPr>
          <w:sz w:val="24"/>
          <w:szCs w:val="24"/>
        </w:rPr>
        <w:t xml:space="preserve">via the Council website and will be reflected upon and strategy appropriately amended if required via the annual update of the LHS as per Scottish Government guidance. </w:t>
      </w:r>
    </w:p>
    <w:p w14:paraId="11441EA9" w14:textId="77777777" w:rsidR="00273771" w:rsidRPr="00273771" w:rsidRDefault="00273771" w:rsidP="00273771"/>
    <w:p w14:paraId="72D665F2" w14:textId="77777777" w:rsidR="00E93F9B" w:rsidRDefault="00E93F9B">
      <w:pPr>
        <w:pStyle w:val="Heading1"/>
        <w:rPr>
          <w:rFonts w:ascii="Arial" w:hAnsi="Arial" w:cs="Arial"/>
        </w:rPr>
        <w:sectPr w:rsidR="00E93F9B" w:rsidSect="000818EE">
          <w:pgSz w:w="11906" w:h="16838"/>
          <w:pgMar w:top="1440" w:right="1440" w:bottom="1440" w:left="1440" w:header="708" w:footer="708" w:gutter="0"/>
          <w:cols w:space="708"/>
          <w:docGrid w:linePitch="360"/>
        </w:sectPr>
      </w:pPr>
    </w:p>
    <w:p w14:paraId="0EF34B42" w14:textId="2C77993E" w:rsidR="00CC369A" w:rsidRPr="00273771" w:rsidRDefault="00A85C4F">
      <w:pPr>
        <w:pStyle w:val="Heading1"/>
        <w:rPr>
          <w:rFonts w:ascii="Arial" w:hAnsi="Arial" w:cs="Arial"/>
        </w:rPr>
      </w:pPr>
      <w:r w:rsidRPr="00273771">
        <w:rPr>
          <w:rFonts w:ascii="Arial" w:hAnsi="Arial" w:cs="Arial"/>
        </w:rPr>
        <w:lastRenderedPageBreak/>
        <w:t xml:space="preserve">10. </w:t>
      </w:r>
      <w:r w:rsidR="0089791F" w:rsidRPr="00273771">
        <w:rPr>
          <w:rFonts w:ascii="Arial" w:hAnsi="Arial" w:cs="Arial"/>
        </w:rPr>
        <w:t>Sign &amp; Date</w:t>
      </w:r>
    </w:p>
    <w:p w14:paraId="41C7017A" w14:textId="77777777" w:rsidR="00117532" w:rsidRDefault="00117532" w:rsidP="00273771"/>
    <w:p w14:paraId="57FB34B4" w14:textId="1F5A5ADC" w:rsidR="00FC5662" w:rsidRPr="001200CD" w:rsidRDefault="00FC5662" w:rsidP="00273771">
      <w:pPr>
        <w:rPr>
          <w:b/>
          <w:bCs/>
          <w:sz w:val="24"/>
        </w:rPr>
      </w:pPr>
      <w:r w:rsidRPr="001200CD">
        <w:rPr>
          <w:b/>
          <w:bCs/>
          <w:sz w:val="24"/>
        </w:rPr>
        <w:t>Policy Lead Signature &amp; Date of Sign Off:</w:t>
      </w:r>
    </w:p>
    <w:p w14:paraId="0249745C" w14:textId="5CC38706" w:rsidR="001200CD" w:rsidRDefault="001200CD" w:rsidP="00273771">
      <w:pPr>
        <w:rPr>
          <w:sz w:val="24"/>
        </w:rPr>
      </w:pPr>
      <w:r>
        <w:rPr>
          <w:sz w:val="24"/>
        </w:rPr>
        <w:t>Patrick Rodger, Housing Strategy Officer, Inverclyde Council 17/07/2023</w:t>
      </w:r>
    </w:p>
    <w:p w14:paraId="06908F4E" w14:textId="77777777" w:rsidR="00E93F9B" w:rsidRPr="00273771" w:rsidRDefault="00E93F9B" w:rsidP="00273771">
      <w:pPr>
        <w:rPr>
          <w:sz w:val="24"/>
        </w:rPr>
      </w:pPr>
    </w:p>
    <w:p w14:paraId="5B21C384" w14:textId="1E1DC249" w:rsidR="00FC5662" w:rsidRPr="001200CD" w:rsidRDefault="00FC5662" w:rsidP="00273771">
      <w:pPr>
        <w:rPr>
          <w:b/>
          <w:bCs/>
          <w:sz w:val="24"/>
        </w:rPr>
      </w:pPr>
      <w:r w:rsidRPr="001200CD">
        <w:rPr>
          <w:b/>
          <w:bCs/>
          <w:sz w:val="24"/>
        </w:rPr>
        <w:t>Deputy Director Signature &amp; Date of Sign Off:</w:t>
      </w:r>
    </w:p>
    <w:p w14:paraId="456A5BB9" w14:textId="7F42EAFA" w:rsidR="00E75531" w:rsidRPr="00EA2B48" w:rsidRDefault="00E75531" w:rsidP="00273771">
      <w:r>
        <w:t>Martin McNab, Public Protection Manager, Inverclyde Council 17/07/2023</w:t>
      </w:r>
    </w:p>
    <w:p w14:paraId="5E9D20B6" w14:textId="77777777" w:rsidR="0070432A" w:rsidRPr="0070432A" w:rsidRDefault="0070432A" w:rsidP="0070432A"/>
    <w:p w14:paraId="1D6CA516" w14:textId="2FBE1B0B" w:rsidR="000818EE" w:rsidRDefault="000818EE" w:rsidP="0070432A">
      <w:pPr>
        <w:rPr>
          <w:rFonts w:cs="Arial"/>
        </w:rPr>
      </w:pPr>
    </w:p>
    <w:p w14:paraId="2B204625" w14:textId="7DE1B648" w:rsidR="004D2936" w:rsidRDefault="004D2936" w:rsidP="0070432A">
      <w:pPr>
        <w:rPr>
          <w:rFonts w:cs="Arial"/>
        </w:rPr>
      </w:pPr>
    </w:p>
    <w:p w14:paraId="571AD4BA" w14:textId="5F0246D4" w:rsidR="004D2936" w:rsidRDefault="004D2936" w:rsidP="0070432A">
      <w:pPr>
        <w:rPr>
          <w:rFonts w:cs="Arial"/>
        </w:rPr>
      </w:pPr>
    </w:p>
    <w:p w14:paraId="7564250E" w14:textId="77777777" w:rsidR="00073B09" w:rsidRDefault="00073B09" w:rsidP="0070432A">
      <w:pPr>
        <w:rPr>
          <w:rFonts w:cs="Arial"/>
        </w:rPr>
      </w:pPr>
    </w:p>
    <w:p w14:paraId="233D92D6" w14:textId="77777777" w:rsidR="004D2936" w:rsidRPr="0070432A" w:rsidRDefault="004D2936" w:rsidP="0070432A">
      <w:pPr>
        <w:rPr>
          <w:rFonts w:cs="Arial"/>
        </w:rPr>
      </w:pPr>
    </w:p>
    <w:p w14:paraId="0B15E47B" w14:textId="77777777" w:rsidR="0089791F" w:rsidRPr="00273771" w:rsidRDefault="0089791F"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Arial"/>
          <w:b/>
          <w:sz w:val="40"/>
          <w:szCs w:val="24"/>
        </w:rPr>
      </w:pPr>
    </w:p>
    <w:p w14:paraId="1F65689D" w14:textId="5770C682" w:rsidR="003312D7" w:rsidRPr="00273771" w:rsidRDefault="003312D7"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Arial"/>
          <w:b/>
          <w:sz w:val="36"/>
          <w:szCs w:val="24"/>
        </w:rPr>
      </w:pPr>
      <w:r w:rsidRPr="00273771">
        <w:rPr>
          <w:rFonts w:eastAsia="Times New Roman" w:cs="Arial"/>
          <w:b/>
          <w:sz w:val="36"/>
          <w:szCs w:val="24"/>
        </w:rPr>
        <w:t xml:space="preserve">Once signed off, please send to </w:t>
      </w:r>
      <w:hyperlink r:id="rId13" w:history="1">
        <w:r w:rsidRPr="00273771">
          <w:rPr>
            <w:rFonts w:eastAsia="Times New Roman" w:cs="Arial"/>
            <w:b/>
            <w:color w:val="0563C1" w:themeColor="hyperlink"/>
            <w:sz w:val="36"/>
            <w:szCs w:val="24"/>
            <w:u w:val="single"/>
          </w:rPr>
          <w:t>CRWIA@gov.scot</w:t>
        </w:r>
      </w:hyperlink>
      <w:r w:rsidRPr="00273771">
        <w:rPr>
          <w:rFonts w:eastAsia="Times New Roman" w:cs="Arial"/>
          <w:b/>
          <w:sz w:val="36"/>
          <w:szCs w:val="24"/>
        </w:rPr>
        <w:t xml:space="preserve"> and publish on gov.scot website. </w:t>
      </w:r>
    </w:p>
    <w:p w14:paraId="1C7C4491" w14:textId="1BB98503" w:rsidR="006707B7" w:rsidRDefault="006707B7"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Arial"/>
          <w:b/>
          <w:sz w:val="44"/>
          <w:szCs w:val="24"/>
        </w:rPr>
      </w:pPr>
    </w:p>
    <w:p w14:paraId="37308A86" w14:textId="33AE8C5A" w:rsidR="006707B7" w:rsidRDefault="006707B7"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Arial"/>
          <w:b/>
          <w:sz w:val="44"/>
          <w:szCs w:val="24"/>
        </w:rPr>
      </w:pPr>
    </w:p>
    <w:p w14:paraId="4A4B3502" w14:textId="4DCFB542" w:rsidR="006707B7" w:rsidRDefault="006707B7" w:rsidP="003312D7">
      <w:pPr>
        <w:tabs>
          <w:tab w:val="left" w:pos="720"/>
          <w:tab w:val="left" w:pos="1440"/>
          <w:tab w:val="left" w:pos="2160"/>
          <w:tab w:val="left" w:pos="2880"/>
          <w:tab w:val="left" w:pos="4680"/>
          <w:tab w:val="left" w:pos="5400"/>
          <w:tab w:val="right" w:pos="9000"/>
        </w:tabs>
        <w:spacing w:after="0" w:line="240" w:lineRule="atLeast"/>
        <w:jc w:val="center"/>
        <w:rPr>
          <w:rFonts w:eastAsia="Times New Roman" w:cs="Arial"/>
          <w:b/>
          <w:sz w:val="44"/>
          <w:szCs w:val="24"/>
        </w:rPr>
      </w:pPr>
    </w:p>
    <w:p w14:paraId="51204E94" w14:textId="2AD63433" w:rsidR="004D1A99" w:rsidRPr="007B32C0" w:rsidRDefault="004D1A99" w:rsidP="007B32C0">
      <w:pPr>
        <w:rPr>
          <w:sz w:val="24"/>
        </w:rPr>
      </w:pPr>
      <w:bookmarkStart w:id="0" w:name="_Annex_1_–_1"/>
      <w:bookmarkEnd w:id="0"/>
    </w:p>
    <w:sectPr w:rsidR="004D1A99" w:rsidRPr="007B32C0" w:rsidSect="000818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333A" w14:textId="77777777" w:rsidR="00B00D6C" w:rsidRDefault="00B00D6C" w:rsidP="008A131B">
      <w:pPr>
        <w:spacing w:after="0"/>
      </w:pPr>
      <w:r>
        <w:separator/>
      </w:r>
    </w:p>
  </w:endnote>
  <w:endnote w:type="continuationSeparator" w:id="0">
    <w:p w14:paraId="5288BCA8" w14:textId="77777777" w:rsidR="00B00D6C" w:rsidRDefault="00B00D6C" w:rsidP="008A13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750596"/>
      <w:docPartObj>
        <w:docPartGallery w:val="Page Numbers (Bottom of Page)"/>
        <w:docPartUnique/>
      </w:docPartObj>
    </w:sdtPr>
    <w:sdtEndPr>
      <w:rPr>
        <w:noProof/>
      </w:rPr>
    </w:sdtEndPr>
    <w:sdtContent>
      <w:p w14:paraId="7E4405D1" w14:textId="459B014F" w:rsidR="00625AEE" w:rsidRDefault="00625AEE">
        <w:pPr>
          <w:pStyle w:val="Footer"/>
          <w:jc w:val="right"/>
        </w:pPr>
        <w:r>
          <w:fldChar w:fldCharType="begin"/>
        </w:r>
        <w:r>
          <w:instrText xml:space="preserve"> PAGE   \* MERGEFORMAT </w:instrText>
        </w:r>
        <w:r>
          <w:fldChar w:fldCharType="separate"/>
        </w:r>
        <w:r w:rsidR="00273771">
          <w:rPr>
            <w:noProof/>
          </w:rPr>
          <w:t>9</w:t>
        </w:r>
        <w:r>
          <w:rPr>
            <w:noProof/>
          </w:rPr>
          <w:fldChar w:fldCharType="end"/>
        </w:r>
      </w:p>
    </w:sdtContent>
  </w:sdt>
  <w:p w14:paraId="59FA8A6C" w14:textId="77777777" w:rsidR="00625AEE" w:rsidRDefault="0062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D96A" w14:textId="77777777" w:rsidR="00B00D6C" w:rsidRDefault="00B00D6C" w:rsidP="008A131B">
      <w:pPr>
        <w:spacing w:after="0"/>
      </w:pPr>
      <w:r>
        <w:separator/>
      </w:r>
    </w:p>
  </w:footnote>
  <w:footnote w:type="continuationSeparator" w:id="0">
    <w:p w14:paraId="768AEDD5" w14:textId="77777777" w:rsidR="00B00D6C" w:rsidRDefault="00B00D6C" w:rsidP="008A13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F0BD" w14:textId="20EFBCC4" w:rsidR="001200CD" w:rsidRDefault="00DE2F5A">
    <w:pPr>
      <w:pStyle w:val="Header"/>
    </w:pPr>
    <w:r>
      <w:rPr>
        <w:noProof/>
      </w:rPr>
      <mc:AlternateContent>
        <mc:Choice Requires="wps">
          <w:drawing>
            <wp:anchor distT="0" distB="0" distL="0" distR="0" simplePos="0" relativeHeight="251659264" behindDoc="0" locked="0" layoutInCell="1" allowOverlap="1" wp14:anchorId="28296460" wp14:editId="4009FDA9">
              <wp:simplePos x="635" y="635"/>
              <wp:positionH relativeFrom="page">
                <wp:align>left</wp:align>
              </wp:positionH>
              <wp:positionV relativeFrom="page">
                <wp:align>top</wp:align>
              </wp:positionV>
              <wp:extent cx="443865" cy="443865"/>
              <wp:effectExtent l="0" t="0" r="10160" b="4445"/>
              <wp:wrapNone/>
              <wp:docPr id="398355643"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FC92F" w14:textId="1D05D469" w:rsidR="00DE2F5A" w:rsidRPr="00DE2F5A" w:rsidRDefault="00DE2F5A" w:rsidP="00DE2F5A">
                          <w:pPr>
                            <w:spacing w:after="0"/>
                            <w:rPr>
                              <w:rFonts w:ascii="Calibri" w:eastAsia="Calibri" w:hAnsi="Calibri" w:cs="Calibri"/>
                              <w:noProof/>
                              <w:color w:val="000000"/>
                              <w:sz w:val="24"/>
                              <w:szCs w:val="24"/>
                            </w:rPr>
                          </w:pPr>
                          <w:r w:rsidRPr="00DE2F5A">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29646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FEFC92F" w14:textId="1D05D469" w:rsidR="00DE2F5A" w:rsidRPr="00DE2F5A" w:rsidRDefault="00DE2F5A" w:rsidP="00DE2F5A">
                    <w:pPr>
                      <w:spacing w:after="0"/>
                      <w:rPr>
                        <w:rFonts w:ascii="Calibri" w:eastAsia="Calibri" w:hAnsi="Calibri" w:cs="Calibri"/>
                        <w:noProof/>
                        <w:color w:val="000000"/>
                        <w:sz w:val="24"/>
                        <w:szCs w:val="24"/>
                      </w:rPr>
                    </w:pPr>
                    <w:r w:rsidRPr="00DE2F5A">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4B27" w14:textId="0AF587FC" w:rsidR="00625AEE" w:rsidRPr="008A131B" w:rsidRDefault="00DE2F5A">
    <w:pPr>
      <w:pStyle w:val="Header"/>
      <w:rPr>
        <w:b/>
      </w:rPr>
    </w:pPr>
    <w:r>
      <w:rPr>
        <w:noProof/>
      </w:rPr>
      <mc:AlternateContent>
        <mc:Choice Requires="wps">
          <w:drawing>
            <wp:anchor distT="0" distB="0" distL="0" distR="0" simplePos="0" relativeHeight="251660288" behindDoc="0" locked="0" layoutInCell="1" allowOverlap="1" wp14:anchorId="086E8267" wp14:editId="10A0B030">
              <wp:simplePos x="914400" y="447675"/>
              <wp:positionH relativeFrom="page">
                <wp:align>left</wp:align>
              </wp:positionH>
              <wp:positionV relativeFrom="page">
                <wp:align>top</wp:align>
              </wp:positionV>
              <wp:extent cx="443865" cy="443865"/>
              <wp:effectExtent l="0" t="0" r="10160" b="4445"/>
              <wp:wrapNone/>
              <wp:docPr id="1762064755"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71230A" w14:textId="595A06BB" w:rsidR="00DE2F5A" w:rsidRPr="00DE2F5A" w:rsidRDefault="00DE2F5A" w:rsidP="00DE2F5A">
                          <w:pPr>
                            <w:spacing w:after="0"/>
                            <w:rPr>
                              <w:rFonts w:ascii="Calibri" w:eastAsia="Calibri" w:hAnsi="Calibri" w:cs="Calibri"/>
                              <w:noProof/>
                              <w:color w:val="000000"/>
                              <w:sz w:val="24"/>
                              <w:szCs w:val="24"/>
                            </w:rPr>
                          </w:pPr>
                          <w:r w:rsidRPr="00DE2F5A">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6E8267"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271230A" w14:textId="595A06BB" w:rsidR="00DE2F5A" w:rsidRPr="00DE2F5A" w:rsidRDefault="00DE2F5A" w:rsidP="00DE2F5A">
                    <w:pPr>
                      <w:spacing w:after="0"/>
                      <w:rPr>
                        <w:rFonts w:ascii="Calibri" w:eastAsia="Calibri" w:hAnsi="Calibri" w:cs="Calibri"/>
                        <w:noProof/>
                        <w:color w:val="000000"/>
                        <w:sz w:val="24"/>
                        <w:szCs w:val="24"/>
                      </w:rPr>
                    </w:pPr>
                    <w:r w:rsidRPr="00DE2F5A">
                      <w:rPr>
                        <w:rFonts w:ascii="Calibri" w:eastAsia="Calibri" w:hAnsi="Calibri" w:cs="Calibri"/>
                        <w:noProof/>
                        <w:color w:val="000000"/>
                        <w:sz w:val="24"/>
                        <w:szCs w:val="24"/>
                      </w:rPr>
                      <w:t>Classification : Official</w:t>
                    </w:r>
                  </w:p>
                </w:txbxContent>
              </v:textbox>
              <w10:wrap anchorx="page" anchory="page"/>
            </v:shape>
          </w:pict>
        </mc:Fallback>
      </mc:AlternateContent>
    </w:r>
    <w:r w:rsidR="00625AEE">
      <w:tab/>
    </w:r>
    <w:r w:rsidR="00625AEE">
      <w:tab/>
    </w:r>
    <w:r w:rsidR="00625AEE">
      <w:tab/>
    </w:r>
    <w:r w:rsidR="00625AEE">
      <w:tab/>
    </w:r>
    <w:r w:rsidR="00625AEE" w:rsidRPr="008A131B">
      <w:rPr>
        <w:b/>
      </w:rPr>
      <w:t>Version 3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6580" w14:textId="39432366" w:rsidR="001200CD" w:rsidRDefault="00DE2F5A">
    <w:pPr>
      <w:pStyle w:val="Header"/>
    </w:pPr>
    <w:r>
      <w:rPr>
        <w:noProof/>
      </w:rPr>
      <mc:AlternateContent>
        <mc:Choice Requires="wps">
          <w:drawing>
            <wp:anchor distT="0" distB="0" distL="0" distR="0" simplePos="0" relativeHeight="251658240" behindDoc="0" locked="0" layoutInCell="1" allowOverlap="1" wp14:anchorId="5FB1D40C" wp14:editId="63E18BFB">
              <wp:simplePos x="635" y="635"/>
              <wp:positionH relativeFrom="page">
                <wp:align>left</wp:align>
              </wp:positionH>
              <wp:positionV relativeFrom="page">
                <wp:align>top</wp:align>
              </wp:positionV>
              <wp:extent cx="443865" cy="443865"/>
              <wp:effectExtent l="0" t="0" r="10160" b="4445"/>
              <wp:wrapNone/>
              <wp:docPr id="190059097"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D6F34" w14:textId="795FF541" w:rsidR="00DE2F5A" w:rsidRPr="00DE2F5A" w:rsidRDefault="00DE2F5A" w:rsidP="00DE2F5A">
                          <w:pPr>
                            <w:spacing w:after="0"/>
                            <w:rPr>
                              <w:rFonts w:ascii="Calibri" w:eastAsia="Calibri" w:hAnsi="Calibri" w:cs="Calibri"/>
                              <w:noProof/>
                              <w:color w:val="000000"/>
                              <w:sz w:val="24"/>
                              <w:szCs w:val="24"/>
                            </w:rPr>
                          </w:pPr>
                          <w:r w:rsidRPr="00DE2F5A">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B1D40C"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7BD6F34" w14:textId="795FF541" w:rsidR="00DE2F5A" w:rsidRPr="00DE2F5A" w:rsidRDefault="00DE2F5A" w:rsidP="00DE2F5A">
                    <w:pPr>
                      <w:spacing w:after="0"/>
                      <w:rPr>
                        <w:rFonts w:ascii="Calibri" w:eastAsia="Calibri" w:hAnsi="Calibri" w:cs="Calibri"/>
                        <w:noProof/>
                        <w:color w:val="000000"/>
                        <w:sz w:val="24"/>
                        <w:szCs w:val="24"/>
                      </w:rPr>
                    </w:pPr>
                    <w:r w:rsidRPr="00DE2F5A">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341"/>
    <w:multiLevelType w:val="hybridMultilevel"/>
    <w:tmpl w:val="9E86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477F9"/>
    <w:multiLevelType w:val="hybridMultilevel"/>
    <w:tmpl w:val="AE30D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36B51"/>
    <w:multiLevelType w:val="hybridMultilevel"/>
    <w:tmpl w:val="8BFE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05701"/>
    <w:multiLevelType w:val="hybridMultilevel"/>
    <w:tmpl w:val="092E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F3D4A"/>
    <w:multiLevelType w:val="hybridMultilevel"/>
    <w:tmpl w:val="5F6A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804A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331182F"/>
    <w:multiLevelType w:val="hybridMultilevel"/>
    <w:tmpl w:val="D5E2E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101BC"/>
    <w:multiLevelType w:val="hybridMultilevel"/>
    <w:tmpl w:val="60CA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352B5"/>
    <w:multiLevelType w:val="hybridMultilevel"/>
    <w:tmpl w:val="46EC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E5D89"/>
    <w:multiLevelType w:val="hybridMultilevel"/>
    <w:tmpl w:val="2E90A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06A4E"/>
    <w:multiLevelType w:val="hybridMultilevel"/>
    <w:tmpl w:val="FE76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446E1"/>
    <w:multiLevelType w:val="hybridMultilevel"/>
    <w:tmpl w:val="C682D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26266"/>
    <w:multiLevelType w:val="hybridMultilevel"/>
    <w:tmpl w:val="7D56E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3B5A0D"/>
    <w:multiLevelType w:val="hybridMultilevel"/>
    <w:tmpl w:val="BBF8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D5D3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D58783B"/>
    <w:multiLevelType w:val="hybridMultilevel"/>
    <w:tmpl w:val="972C1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DD4063"/>
    <w:multiLevelType w:val="hybridMultilevel"/>
    <w:tmpl w:val="A856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048249">
    <w:abstractNumId w:val="2"/>
  </w:num>
  <w:num w:numId="2" w16cid:durableId="1753426627">
    <w:abstractNumId w:val="13"/>
  </w:num>
  <w:num w:numId="3" w16cid:durableId="1182820157">
    <w:abstractNumId w:val="0"/>
  </w:num>
  <w:num w:numId="4" w16cid:durableId="664092863">
    <w:abstractNumId w:val="14"/>
  </w:num>
  <w:num w:numId="5" w16cid:durableId="535047934">
    <w:abstractNumId w:val="5"/>
  </w:num>
  <w:num w:numId="6" w16cid:durableId="494301174">
    <w:abstractNumId w:val="9"/>
  </w:num>
  <w:num w:numId="7" w16cid:durableId="1131434393">
    <w:abstractNumId w:val="12"/>
  </w:num>
  <w:num w:numId="8" w16cid:durableId="1256287074">
    <w:abstractNumId w:val="6"/>
  </w:num>
  <w:num w:numId="9" w16cid:durableId="639651373">
    <w:abstractNumId w:val="11"/>
  </w:num>
  <w:num w:numId="10" w16cid:durableId="761952704">
    <w:abstractNumId w:val="1"/>
  </w:num>
  <w:num w:numId="11" w16cid:durableId="1366952202">
    <w:abstractNumId w:val="16"/>
  </w:num>
  <w:num w:numId="12" w16cid:durableId="445732927">
    <w:abstractNumId w:val="7"/>
  </w:num>
  <w:num w:numId="13" w16cid:durableId="747534214">
    <w:abstractNumId w:val="4"/>
  </w:num>
  <w:num w:numId="14" w16cid:durableId="1500853766">
    <w:abstractNumId w:val="10"/>
  </w:num>
  <w:num w:numId="15" w16cid:durableId="389888493">
    <w:abstractNumId w:val="15"/>
  </w:num>
  <w:num w:numId="16" w16cid:durableId="1013265661">
    <w:abstractNumId w:val="3"/>
  </w:num>
  <w:num w:numId="17" w16cid:durableId="1855680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01"/>
    <w:rsid w:val="00023F9B"/>
    <w:rsid w:val="0003192B"/>
    <w:rsid w:val="00036D4C"/>
    <w:rsid w:val="00073B09"/>
    <w:rsid w:val="000818EE"/>
    <w:rsid w:val="000A1830"/>
    <w:rsid w:val="000D5FD8"/>
    <w:rsid w:val="00107628"/>
    <w:rsid w:val="00113A07"/>
    <w:rsid w:val="00117532"/>
    <w:rsid w:val="001200CD"/>
    <w:rsid w:val="00125DA1"/>
    <w:rsid w:val="001952F6"/>
    <w:rsid w:val="001C1B05"/>
    <w:rsid w:val="001C1D68"/>
    <w:rsid w:val="001C5A79"/>
    <w:rsid w:val="001F5B25"/>
    <w:rsid w:val="00243897"/>
    <w:rsid w:val="00273771"/>
    <w:rsid w:val="002904DA"/>
    <w:rsid w:val="003018EC"/>
    <w:rsid w:val="003027B3"/>
    <w:rsid w:val="00305CED"/>
    <w:rsid w:val="003312D7"/>
    <w:rsid w:val="00353B4B"/>
    <w:rsid w:val="00354DD7"/>
    <w:rsid w:val="00355B6E"/>
    <w:rsid w:val="00367E94"/>
    <w:rsid w:val="00397E90"/>
    <w:rsid w:val="003B36B6"/>
    <w:rsid w:val="003B5AF4"/>
    <w:rsid w:val="003B7ABF"/>
    <w:rsid w:val="003C067C"/>
    <w:rsid w:val="003C0EDD"/>
    <w:rsid w:val="003E3BA6"/>
    <w:rsid w:val="003F6E95"/>
    <w:rsid w:val="004160DB"/>
    <w:rsid w:val="00423688"/>
    <w:rsid w:val="00472A69"/>
    <w:rsid w:val="004C09F9"/>
    <w:rsid w:val="004D05CC"/>
    <w:rsid w:val="004D1A99"/>
    <w:rsid w:val="004D2455"/>
    <w:rsid w:val="004D2936"/>
    <w:rsid w:val="004D7274"/>
    <w:rsid w:val="0050408F"/>
    <w:rsid w:val="00531606"/>
    <w:rsid w:val="005327DA"/>
    <w:rsid w:val="00557E3F"/>
    <w:rsid w:val="00564594"/>
    <w:rsid w:val="00572535"/>
    <w:rsid w:val="00582957"/>
    <w:rsid w:val="00594D67"/>
    <w:rsid w:val="005C1208"/>
    <w:rsid w:val="005C6F61"/>
    <w:rsid w:val="00601781"/>
    <w:rsid w:val="00624174"/>
    <w:rsid w:val="00625AEE"/>
    <w:rsid w:val="006707B7"/>
    <w:rsid w:val="00675248"/>
    <w:rsid w:val="006956F0"/>
    <w:rsid w:val="006C598F"/>
    <w:rsid w:val="006D0040"/>
    <w:rsid w:val="0070432A"/>
    <w:rsid w:val="007215D0"/>
    <w:rsid w:val="00722960"/>
    <w:rsid w:val="00767068"/>
    <w:rsid w:val="007758B9"/>
    <w:rsid w:val="00775D86"/>
    <w:rsid w:val="00781ACD"/>
    <w:rsid w:val="007A32D6"/>
    <w:rsid w:val="007B32C0"/>
    <w:rsid w:val="007E50FF"/>
    <w:rsid w:val="00822ADB"/>
    <w:rsid w:val="008411DE"/>
    <w:rsid w:val="00845917"/>
    <w:rsid w:val="00846810"/>
    <w:rsid w:val="00846AFF"/>
    <w:rsid w:val="0086169C"/>
    <w:rsid w:val="0089791F"/>
    <w:rsid w:val="008A131B"/>
    <w:rsid w:val="008D7B95"/>
    <w:rsid w:val="00903811"/>
    <w:rsid w:val="00912E00"/>
    <w:rsid w:val="00921A60"/>
    <w:rsid w:val="009431B8"/>
    <w:rsid w:val="00992D86"/>
    <w:rsid w:val="009E5DA6"/>
    <w:rsid w:val="00A06E0D"/>
    <w:rsid w:val="00A13797"/>
    <w:rsid w:val="00A66D75"/>
    <w:rsid w:val="00A75C7D"/>
    <w:rsid w:val="00A807FD"/>
    <w:rsid w:val="00A85C4F"/>
    <w:rsid w:val="00A94D9D"/>
    <w:rsid w:val="00AA3801"/>
    <w:rsid w:val="00AA4FE1"/>
    <w:rsid w:val="00AF4BFB"/>
    <w:rsid w:val="00B00D6C"/>
    <w:rsid w:val="00B020FE"/>
    <w:rsid w:val="00B2484A"/>
    <w:rsid w:val="00B32A86"/>
    <w:rsid w:val="00B52B4B"/>
    <w:rsid w:val="00B5719B"/>
    <w:rsid w:val="00B60C89"/>
    <w:rsid w:val="00BD3BFF"/>
    <w:rsid w:val="00C037DC"/>
    <w:rsid w:val="00C36235"/>
    <w:rsid w:val="00CA4731"/>
    <w:rsid w:val="00CA496F"/>
    <w:rsid w:val="00CC369A"/>
    <w:rsid w:val="00D039BE"/>
    <w:rsid w:val="00D4238D"/>
    <w:rsid w:val="00D528C3"/>
    <w:rsid w:val="00D64CB4"/>
    <w:rsid w:val="00DA5F71"/>
    <w:rsid w:val="00DC0FA4"/>
    <w:rsid w:val="00DE22CB"/>
    <w:rsid w:val="00DE2F5A"/>
    <w:rsid w:val="00DE3E1D"/>
    <w:rsid w:val="00E75531"/>
    <w:rsid w:val="00E93F9B"/>
    <w:rsid w:val="00EA0BC2"/>
    <w:rsid w:val="00EA2B48"/>
    <w:rsid w:val="00EB5BA8"/>
    <w:rsid w:val="00ED6F1D"/>
    <w:rsid w:val="00EF33C5"/>
    <w:rsid w:val="00F248EA"/>
    <w:rsid w:val="00F25FC7"/>
    <w:rsid w:val="00F47E32"/>
    <w:rsid w:val="00F54759"/>
    <w:rsid w:val="00F91444"/>
    <w:rsid w:val="00FA2481"/>
    <w:rsid w:val="00FC02CD"/>
    <w:rsid w:val="00FC2661"/>
    <w:rsid w:val="00FC5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AC2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01"/>
    <w:pPr>
      <w:spacing w:after="200" w:line="240" w:lineRule="auto"/>
    </w:pPr>
    <w:rPr>
      <w:rFonts w:ascii="Arial" w:hAnsi="Arial"/>
    </w:rPr>
  </w:style>
  <w:style w:type="paragraph" w:styleId="Heading1">
    <w:name w:val="heading 1"/>
    <w:basedOn w:val="Normal"/>
    <w:next w:val="Normal"/>
    <w:link w:val="Heading1Char"/>
    <w:uiPriority w:val="9"/>
    <w:qFormat/>
    <w:rsid w:val="001C1D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79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A3801"/>
    <w:rPr>
      <w:sz w:val="20"/>
      <w:szCs w:val="20"/>
    </w:rPr>
  </w:style>
  <w:style w:type="character" w:customStyle="1" w:styleId="CommentTextChar">
    <w:name w:val="Comment Text Char"/>
    <w:basedOn w:val="DefaultParagraphFont"/>
    <w:link w:val="CommentText"/>
    <w:uiPriority w:val="99"/>
    <w:semiHidden/>
    <w:rsid w:val="00AA3801"/>
    <w:rPr>
      <w:rFonts w:ascii="Arial" w:hAnsi="Arial"/>
      <w:sz w:val="20"/>
      <w:szCs w:val="20"/>
    </w:rPr>
  </w:style>
  <w:style w:type="table" w:styleId="TableGrid">
    <w:name w:val="Table Grid"/>
    <w:basedOn w:val="TableNormal"/>
    <w:uiPriority w:val="59"/>
    <w:rsid w:val="00AA3801"/>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3801"/>
    <w:rPr>
      <w:sz w:val="16"/>
      <w:szCs w:val="16"/>
    </w:rPr>
  </w:style>
  <w:style w:type="paragraph" w:styleId="BalloonText">
    <w:name w:val="Balloon Text"/>
    <w:basedOn w:val="Normal"/>
    <w:link w:val="BalloonTextChar"/>
    <w:uiPriority w:val="99"/>
    <w:semiHidden/>
    <w:unhideWhenUsed/>
    <w:rsid w:val="00AA380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801"/>
    <w:rPr>
      <w:rFonts w:ascii="Segoe UI" w:hAnsi="Segoe UI" w:cs="Segoe UI"/>
      <w:sz w:val="18"/>
      <w:szCs w:val="18"/>
    </w:rPr>
  </w:style>
  <w:style w:type="paragraph" w:styleId="NoSpacing">
    <w:name w:val="No Spacing"/>
    <w:aliases w:val="Bullet 1"/>
    <w:uiPriority w:val="1"/>
    <w:qFormat/>
    <w:rsid w:val="008A131B"/>
    <w:pPr>
      <w:spacing w:after="0" w:line="240" w:lineRule="auto"/>
    </w:pPr>
    <w:rPr>
      <w:rFonts w:ascii="Arial" w:hAnsi="Arial"/>
    </w:rPr>
  </w:style>
  <w:style w:type="paragraph" w:styleId="Header">
    <w:name w:val="header"/>
    <w:basedOn w:val="Normal"/>
    <w:link w:val="HeaderChar"/>
    <w:uiPriority w:val="99"/>
    <w:unhideWhenUsed/>
    <w:rsid w:val="008A131B"/>
    <w:pPr>
      <w:tabs>
        <w:tab w:val="center" w:pos="4513"/>
        <w:tab w:val="right" w:pos="9026"/>
      </w:tabs>
      <w:spacing w:after="0"/>
    </w:pPr>
  </w:style>
  <w:style w:type="character" w:customStyle="1" w:styleId="HeaderChar">
    <w:name w:val="Header Char"/>
    <w:basedOn w:val="DefaultParagraphFont"/>
    <w:link w:val="Header"/>
    <w:uiPriority w:val="99"/>
    <w:rsid w:val="008A131B"/>
    <w:rPr>
      <w:rFonts w:ascii="Arial" w:hAnsi="Arial"/>
    </w:rPr>
  </w:style>
  <w:style w:type="paragraph" w:styleId="Footer">
    <w:name w:val="footer"/>
    <w:basedOn w:val="Normal"/>
    <w:link w:val="FooterChar"/>
    <w:uiPriority w:val="99"/>
    <w:unhideWhenUsed/>
    <w:rsid w:val="008A131B"/>
    <w:pPr>
      <w:tabs>
        <w:tab w:val="center" w:pos="4513"/>
        <w:tab w:val="right" w:pos="9026"/>
      </w:tabs>
      <w:spacing w:after="0"/>
    </w:pPr>
  </w:style>
  <w:style w:type="character" w:customStyle="1" w:styleId="FooterChar">
    <w:name w:val="Footer Char"/>
    <w:basedOn w:val="DefaultParagraphFont"/>
    <w:link w:val="Footer"/>
    <w:uiPriority w:val="99"/>
    <w:rsid w:val="008A131B"/>
    <w:rPr>
      <w:rFonts w:ascii="Arial" w:hAnsi="Arial"/>
    </w:rPr>
  </w:style>
  <w:style w:type="paragraph" w:styleId="ListParagraph">
    <w:name w:val="List Paragraph"/>
    <w:basedOn w:val="Normal"/>
    <w:uiPriority w:val="34"/>
    <w:qFormat/>
    <w:rsid w:val="003B36B6"/>
    <w:pPr>
      <w:ind w:left="720"/>
      <w:contextualSpacing/>
    </w:pPr>
  </w:style>
  <w:style w:type="paragraph" w:styleId="CommentSubject">
    <w:name w:val="annotation subject"/>
    <w:basedOn w:val="CommentText"/>
    <w:next w:val="CommentText"/>
    <w:link w:val="CommentSubjectChar"/>
    <w:uiPriority w:val="99"/>
    <w:semiHidden/>
    <w:unhideWhenUsed/>
    <w:rsid w:val="003B36B6"/>
    <w:rPr>
      <w:b/>
      <w:bCs/>
    </w:rPr>
  </w:style>
  <w:style w:type="character" w:customStyle="1" w:styleId="CommentSubjectChar">
    <w:name w:val="Comment Subject Char"/>
    <w:basedOn w:val="CommentTextChar"/>
    <w:link w:val="CommentSubject"/>
    <w:uiPriority w:val="99"/>
    <w:semiHidden/>
    <w:rsid w:val="003B36B6"/>
    <w:rPr>
      <w:rFonts w:ascii="Arial" w:hAnsi="Arial"/>
      <w:b/>
      <w:bCs/>
      <w:sz w:val="20"/>
      <w:szCs w:val="20"/>
    </w:rPr>
  </w:style>
  <w:style w:type="paragraph" w:styleId="TOC1">
    <w:name w:val="toc 1"/>
    <w:basedOn w:val="Normal"/>
    <w:next w:val="Normal"/>
    <w:autoRedefine/>
    <w:uiPriority w:val="39"/>
    <w:unhideWhenUsed/>
    <w:rsid w:val="001C1D68"/>
    <w:pPr>
      <w:spacing w:after="100"/>
    </w:pPr>
  </w:style>
  <w:style w:type="character" w:styleId="Hyperlink">
    <w:name w:val="Hyperlink"/>
    <w:basedOn w:val="DefaultParagraphFont"/>
    <w:uiPriority w:val="99"/>
    <w:unhideWhenUsed/>
    <w:rsid w:val="001C1D68"/>
    <w:rPr>
      <w:color w:val="0563C1" w:themeColor="hyperlink"/>
      <w:u w:val="single"/>
    </w:rPr>
  </w:style>
  <w:style w:type="character" w:customStyle="1" w:styleId="Heading1Char">
    <w:name w:val="Heading 1 Char"/>
    <w:basedOn w:val="DefaultParagraphFont"/>
    <w:link w:val="Heading1"/>
    <w:uiPriority w:val="9"/>
    <w:rsid w:val="001C1D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791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215D0"/>
    <w:pPr>
      <w:spacing w:after="100"/>
      <w:ind w:left="220"/>
    </w:pPr>
  </w:style>
  <w:style w:type="character" w:styleId="FollowedHyperlink">
    <w:name w:val="FollowedHyperlink"/>
    <w:basedOn w:val="DefaultParagraphFont"/>
    <w:uiPriority w:val="99"/>
    <w:semiHidden/>
    <w:unhideWhenUsed/>
    <w:rsid w:val="007B3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WIA@gov.sco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A34955253</value>
    </field>
    <field name="Objective-Title">
      <value order="0">SG Leadership - UNCRC Implementation - CRWIA - Impact Assessment Template - Nov 2021 - FINAL</value>
    </field>
    <field name="Objective-Description">
      <value order="0"/>
    </field>
    <field name="Objective-CreationStamp">
      <value order="0">2021-10-12T17:09:51Z</value>
    </field>
    <field name="Objective-IsApproved">
      <value order="0">false</value>
    </field>
    <field name="Objective-IsPublished">
      <value order="0">true</value>
    </field>
    <field name="Objective-DatePublished">
      <value order="0">2021-11-11T18:32:50Z</value>
    </field>
    <field name="Objective-ModificationStamp">
      <value order="0">2021-11-11T18:32:50Z</value>
    </field>
    <field name="Objective-Owner">
      <value order="0">Charles, Aoife A (U443786)</value>
    </field>
    <field name="Objective-Path">
      <value order="0">Objective Global Folder:SG File Plan:Crime, law, justice and rights:Civil and human rights:General:Advice and policy: Civil and human rights - general:United Nations (UN) Convention on the Rights of the Child: UNCRC Incorporation Implementation: SG Leadership for Children's Rights: 2021-2026</value>
    </field>
    <field name="Objective-Parent">
      <value order="0">United Nations (UN) Convention on the Rights of the Child: UNCRC Incorporation Implementation: SG Leadership for Children's Rights: 2021-2026</value>
    </field>
    <field name="Objective-State">
      <value order="0">Published</value>
    </field>
    <field name="Objective-VersionId">
      <value order="0">vA52069218</value>
    </field>
    <field name="Objective-Version">
      <value order="0">16.0</value>
    </field>
    <field name="Objective-VersionNumber">
      <value order="0">25</value>
    </field>
    <field name="Objective-VersionComment">
      <value order="0">draft - final</value>
    </field>
    <field name="Objective-FileNumber">
      <value order="0">POL/35443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3DB5C0B-C4E7-485A-88A4-C9CECE66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2024-02-15T10:23:00Z</dcterms:created>
  <dcterms:modified xsi:type="dcterms:W3CDTF">2024-02-15T10:24:00Z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b541259,17be6cbb,6906f973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2024-02-15T10:24:22Z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0ada1036-d7e0-4902-9e07-cf905e2b7d66</vt:lpwstr>
  </property>
  <property fmtid="{D5CDD505-2E9C-101B-9397-08002B2CF9AE}" pid="11" name="MSIP_Label_ed63e432-7a5b-4534-ada9-2e736aca8ba4_ContentBits">
    <vt:lpwstr>1</vt:lpwstr>
  </property>
</Properties>
</file>