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4785192" w:displacedByCustomXml="next"/>
    <w:sdt>
      <w:sdtPr>
        <w:id w:val="-2069722095"/>
        <w:docPartObj>
          <w:docPartGallery w:val="Cover Pages"/>
          <w:docPartUnique/>
        </w:docPartObj>
      </w:sdtPr>
      <w:sdtEndPr>
        <w:rPr>
          <w:caps/>
          <w:color w:val="4472C4" w:themeColor="accent1"/>
          <w:sz w:val="72"/>
          <w:szCs w:val="72"/>
        </w:rPr>
      </w:sdtEndPr>
      <w:sdtContent>
        <w:p w14:paraId="03AA7609" w14:textId="514E4246" w:rsidR="00B01D8B" w:rsidRDefault="00B01D8B" w:rsidP="005E5542">
          <w:pPr>
            <w:jc w:val="both"/>
          </w:pPr>
          <w:r>
            <w:rPr>
              <w:noProof/>
            </w:rPr>
            <mc:AlternateContent>
              <mc:Choice Requires="wps">
                <w:drawing>
                  <wp:anchor distT="0" distB="0" distL="114300" distR="114300" simplePos="0" relativeHeight="251659264" behindDoc="0" locked="0" layoutInCell="1" allowOverlap="1" wp14:anchorId="48767944" wp14:editId="7ADFCBF9">
                    <wp:simplePos x="0" y="0"/>
                    <wp:positionH relativeFrom="page">
                      <wp:posOffset>158750</wp:posOffset>
                    </wp:positionH>
                    <wp:positionV relativeFrom="page">
                      <wp:posOffset>241300</wp:posOffset>
                    </wp:positionV>
                    <wp:extent cx="5363210" cy="10234930"/>
                    <wp:effectExtent l="0" t="0" r="3175" b="0"/>
                    <wp:wrapNone/>
                    <wp:docPr id="471"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10234930"/>
                            </a:xfrm>
                            <a:prstGeom prst="rect">
                              <a:avLst/>
                            </a:prstGeom>
                            <a:solidFill>
                              <a:schemeClr val="bg1"/>
                            </a:solidFill>
                            <a:ln>
                              <a:noFill/>
                            </a:ln>
                          </wps:spPr>
                          <wps:txbx>
                            <w:txbxContent>
                              <w:p w14:paraId="48B2CC2D" w14:textId="16A8FFF5" w:rsidR="00B01D8B" w:rsidRPr="005A6607" w:rsidRDefault="004E7E9E">
                                <w:pPr>
                                  <w:pStyle w:val="Title"/>
                                  <w:jc w:val="right"/>
                                  <w:rPr>
                                    <w:b/>
                                    <w:bCs/>
                                    <w:caps/>
                                    <w:color w:val="auto"/>
                                    <w:sz w:val="80"/>
                                    <w:szCs w:val="80"/>
                                  </w:rPr>
                                </w:pPr>
                                <w:r w:rsidRPr="005A6607">
                                  <w:rPr>
                                    <w:b/>
                                    <w:bCs/>
                                    <w:caps/>
                                    <w:color w:val="auto"/>
                                    <w:sz w:val="80"/>
                                    <w:szCs w:val="80"/>
                                  </w:rPr>
                                  <w:t>Inverclyde Council</w:t>
                                </w:r>
                              </w:p>
                              <w:p w14:paraId="0E4FBC22" w14:textId="77777777" w:rsidR="00B01D8B" w:rsidRDefault="00B01D8B">
                                <w:pPr>
                                  <w:spacing w:before="240"/>
                                  <w:ind w:left="720"/>
                                  <w:jc w:val="right"/>
                                  <w:rPr>
                                    <w:color w:val="FFFFFF" w:themeColor="background1"/>
                                  </w:rPr>
                                </w:pPr>
                              </w:p>
                              <w:p w14:paraId="23F11967" w14:textId="2573AECF" w:rsidR="00B01D8B" w:rsidRPr="005A6607" w:rsidRDefault="00B01D8B">
                                <w:pPr>
                                  <w:spacing w:before="240"/>
                                  <w:ind w:left="1008"/>
                                  <w:jc w:val="right"/>
                                  <w:rPr>
                                    <w:color w:val="FFFFFF" w:themeColor="background1"/>
                                    <w:sz w:val="24"/>
                                    <w:szCs w:val="24"/>
                                  </w:rPr>
                                </w:pPr>
                                <w:r w:rsidRPr="005A6607">
                                  <w:rPr>
                                    <w:sz w:val="24"/>
                                    <w:szCs w:val="24"/>
                                  </w:rPr>
                                  <w:t>This paper sets out the rationale behind the Inverclyde’s Housing Supply Targets for the duration of 2023-33 to support the development of the Local Housing Strategy and Local Development Plan</w:t>
                                </w: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0</wp14:pctHeight>
                    </wp14:sizeRelV>
                  </wp:anchor>
                </w:drawing>
              </mc:Choice>
              <mc:Fallback>
                <w:pict>
                  <v:rect w14:anchorId="48767944" id="Rectangle 16" o:spid="_x0000_s1026" alt="&quot;&quot;" style="position:absolute;left:0;text-align:left;margin-left:12.5pt;margin-top:19pt;width:422.3pt;height:805.9pt;z-index:251659264;visibility:visible;mso-wrap-style:square;mso-width-percent:690;mso-height-percent:0;mso-wrap-distance-left:9pt;mso-wrap-distance-top:0;mso-wrap-distance-right:9pt;mso-wrap-distance-bottom:0;mso-position-horizontal:absolute;mso-position-horizontal-relative:page;mso-position-vertical:absolute;mso-position-vertical-relative:page;mso-width-percent:69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" fillcolor="white [3212]" stroked="f">
                    <v:textbox inset="21.6pt,1in,21.6pt">
                      <w:txbxContent>
                        <w:p w14:paraId="48B2CC2D" w14:textId="16A8FFF5" w:rsidR="00B01D8B" w:rsidRPr="005A6607" w:rsidRDefault="004E7E9E">
                          <w:pPr>
                            <w:pStyle w:val="Title"/>
                            <w:jc w:val="right"/>
                            <w:rPr>
                              <w:b/>
                              <w:bCs/>
                              <w:caps/>
                              <w:color w:val="auto"/>
                              <w:sz w:val="80"/>
                              <w:szCs w:val="80"/>
                            </w:rPr>
                          </w:pPr>
                          <w:r w:rsidRPr="005A6607">
                            <w:rPr>
                              <w:b/>
                              <w:bCs/>
                              <w:caps/>
                              <w:color w:val="auto"/>
                              <w:sz w:val="80"/>
                              <w:szCs w:val="80"/>
                            </w:rPr>
                            <w:t>Inverclyde Council</w:t>
                          </w:r>
                        </w:p>
                        <w:p w14:paraId="0E4FBC22" w14:textId="77777777" w:rsidR="00B01D8B" w:rsidRDefault="00B01D8B">
                          <w:pPr>
                            <w:spacing w:before="240"/>
                            <w:ind w:left="720"/>
                            <w:jc w:val="right"/>
                            <w:rPr>
                              <w:color w:val="FFFFFF" w:themeColor="background1"/>
                            </w:rPr>
                          </w:pPr>
                        </w:p>
                        <w:p w14:paraId="23F11967" w14:textId="2573AECF" w:rsidR="00B01D8B" w:rsidRPr="005A6607" w:rsidRDefault="00B01D8B">
                          <w:pPr>
                            <w:spacing w:before="240"/>
                            <w:ind w:left="1008"/>
                            <w:jc w:val="right"/>
                            <w:rPr>
                              <w:color w:val="FFFFFF" w:themeColor="background1"/>
                              <w:sz w:val="24"/>
                              <w:szCs w:val="24"/>
                            </w:rPr>
                          </w:pPr>
                          <w:r w:rsidRPr="005A6607">
                            <w:rPr>
                              <w:sz w:val="24"/>
                              <w:szCs w:val="24"/>
                            </w:rPr>
                            <w:t>This paper sets out the rationale behind the Inverclyde’s Housing Supply Targets for the duration of 2023-33 to support the development of the Local Housing Strategy and Local Development Plan</w:t>
                          </w:r>
                        </w:p>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022AFF9A" wp14:editId="76A0FF19">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5080" b="2540"/>
                    <wp:wrapNone/>
                    <wp:docPr id="472" name="Rectangle 4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684EF8" w14:textId="56C047FE" w:rsidR="00B01D8B" w:rsidRPr="005A6607" w:rsidRDefault="00B01D8B">
                                <w:pPr>
                                  <w:pStyle w:val="Subtitle"/>
                                  <w:rPr>
                                    <w:rFonts w:cstheme="minorBidi"/>
                                    <w:b/>
                                    <w:bCs/>
                                    <w:color w:val="FFFFFF" w:themeColor="background1"/>
                                    <w:sz w:val="28"/>
                                    <w:szCs w:val="28"/>
                                  </w:rPr>
                                </w:pPr>
                                <w:r w:rsidRPr="005A6607">
                                  <w:rPr>
                                    <w:rFonts w:cstheme="minorBidi"/>
                                    <w:b/>
                                    <w:bCs/>
                                    <w:color w:val="FFFFFF" w:themeColor="background1"/>
                                    <w:sz w:val="28"/>
                                    <w:szCs w:val="28"/>
                                  </w:rPr>
                                  <w:t>Housing Supply Targets Paper 2023-</w:t>
                                </w:r>
                                <w:r w:rsidR="00804D2B" w:rsidRPr="005A6607">
                                  <w:rPr>
                                    <w:rFonts w:cstheme="minorBidi"/>
                                    <w:b/>
                                    <w:bCs/>
                                    <w:color w:val="FFFFFF" w:themeColor="background1"/>
                                    <w:sz w:val="28"/>
                                    <w:szCs w:val="28"/>
                                  </w:rPr>
                                  <w:t>20</w:t>
                                </w:r>
                                <w:r w:rsidRPr="005A6607">
                                  <w:rPr>
                                    <w:rFonts w:cstheme="minorBidi"/>
                                    <w:b/>
                                    <w:bCs/>
                                    <w:color w:val="FFFFFF" w:themeColor="background1"/>
                                    <w:sz w:val="28"/>
                                    <w:szCs w:val="28"/>
                                  </w:rPr>
                                  <w:t>33</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022AFF9A" id="Rectangle 472" o:spid="_x0000_s1027" alt="&quot;&quot;" style="position:absolute;left:0;text-align:left;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" fillcolor="#44546a [3215]" stroked="f" strokeweight="1pt">
                    <v:textbox inset="14.4pt,,14.4pt">
                      <w:txbxContent>
                        <w:p w14:paraId="73684EF8" w14:textId="56C047FE" w:rsidR="00B01D8B" w:rsidRPr="005A6607" w:rsidRDefault="00B01D8B">
                          <w:pPr>
                            <w:pStyle w:val="Subtitle"/>
                            <w:rPr>
                              <w:rFonts w:cstheme="minorBidi"/>
                              <w:b/>
                              <w:bCs/>
                              <w:color w:val="FFFFFF" w:themeColor="background1"/>
                              <w:sz w:val="28"/>
                              <w:szCs w:val="28"/>
                            </w:rPr>
                          </w:pPr>
                          <w:r w:rsidRPr="005A6607">
                            <w:rPr>
                              <w:rFonts w:cstheme="minorBidi"/>
                              <w:b/>
                              <w:bCs/>
                              <w:color w:val="FFFFFF" w:themeColor="background1"/>
                              <w:sz w:val="28"/>
                              <w:szCs w:val="28"/>
                            </w:rPr>
                            <w:t>Housing Supply Targets Paper 2023-</w:t>
                          </w:r>
                          <w:r w:rsidR="00804D2B" w:rsidRPr="005A6607">
                            <w:rPr>
                              <w:rFonts w:cstheme="minorBidi"/>
                              <w:b/>
                              <w:bCs/>
                              <w:color w:val="FFFFFF" w:themeColor="background1"/>
                              <w:sz w:val="28"/>
                              <w:szCs w:val="28"/>
                            </w:rPr>
                            <w:t>20</w:t>
                          </w:r>
                          <w:r w:rsidRPr="005A6607">
                            <w:rPr>
                              <w:rFonts w:cstheme="minorBidi"/>
                              <w:b/>
                              <w:bCs/>
                              <w:color w:val="FFFFFF" w:themeColor="background1"/>
                              <w:sz w:val="28"/>
                              <w:szCs w:val="28"/>
                            </w:rPr>
                            <w:t>33</w:t>
                          </w:r>
                        </w:p>
                      </w:txbxContent>
                    </v:textbox>
                    <w10:wrap anchorx="page" anchory="page"/>
                  </v:rect>
                </w:pict>
              </mc:Fallback>
            </mc:AlternateContent>
          </w:r>
        </w:p>
        <w:p w14:paraId="3D7EE726" w14:textId="77777777" w:rsidR="00B01D8B" w:rsidRDefault="00B01D8B" w:rsidP="005E5542">
          <w:pPr>
            <w:jc w:val="both"/>
          </w:pPr>
        </w:p>
        <w:p w14:paraId="59D48302" w14:textId="08521DCF" w:rsidR="00B01D8B" w:rsidRDefault="00B01D8B" w:rsidP="005E5542">
          <w:pPr>
            <w:spacing w:after="160" w:line="259" w:lineRule="auto"/>
            <w:jc w:val="both"/>
            <w:rPr>
              <w:rFonts w:asciiTheme="majorHAnsi" w:eastAsiaTheme="majorEastAsia" w:hAnsiTheme="majorHAnsi" w:cstheme="majorBidi"/>
              <w:caps/>
              <w:color w:val="4472C4" w:themeColor="accent1"/>
              <w:sz w:val="72"/>
              <w:szCs w:val="72"/>
            </w:rPr>
          </w:pPr>
          <w:r>
            <w:rPr>
              <w:caps/>
              <w:color w:val="4472C4" w:themeColor="accent1"/>
              <w:sz w:val="72"/>
              <w:szCs w:val="72"/>
            </w:rPr>
            <w:br w:type="page"/>
          </w:r>
        </w:p>
      </w:sdtContent>
    </w:sdt>
    <w:sdt>
      <w:sdtPr>
        <w:rPr>
          <w:rFonts w:ascii="Calibri" w:eastAsiaTheme="minorHAnsi" w:hAnsi="Calibri" w:cs="Calibri"/>
          <w:color w:val="auto"/>
          <w:sz w:val="22"/>
          <w:szCs w:val="22"/>
          <w:lang w:eastAsia="en-US"/>
        </w:rPr>
        <w:id w:val="717402095"/>
        <w:docPartObj>
          <w:docPartGallery w:val="Table of Contents"/>
          <w:docPartUnique/>
        </w:docPartObj>
      </w:sdtPr>
      <w:sdtEndPr>
        <w:rPr>
          <w:b/>
          <w:bCs/>
        </w:rPr>
      </w:sdtEndPr>
      <w:sdtContent>
        <w:p w14:paraId="7726172F" w14:textId="77D73036" w:rsidR="00B01D8B" w:rsidRPr="00637F3E" w:rsidRDefault="00B01D8B" w:rsidP="005E5542">
          <w:pPr>
            <w:pStyle w:val="TOCHeading"/>
            <w:jc w:val="both"/>
            <w:rPr>
              <w:b/>
              <w:bCs/>
            </w:rPr>
          </w:pPr>
          <w:r w:rsidRPr="00637F3E">
            <w:rPr>
              <w:b/>
              <w:bCs/>
            </w:rPr>
            <w:t>Contents</w:t>
          </w:r>
        </w:p>
        <w:p w14:paraId="66EB18AE" w14:textId="782350D5" w:rsidR="00EA568F" w:rsidRDefault="00B01D8B">
          <w:pPr>
            <w:pStyle w:val="TOC1"/>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137714781" w:history="1">
            <w:r w:rsidR="00EA568F" w:rsidRPr="00A6693E">
              <w:rPr>
                <w:rStyle w:val="Hyperlink"/>
                <w:noProof/>
              </w:rPr>
              <w:t>Background</w:t>
            </w:r>
            <w:r w:rsidR="00EA568F">
              <w:rPr>
                <w:noProof/>
                <w:webHidden/>
              </w:rPr>
              <w:tab/>
            </w:r>
            <w:r w:rsidR="00EA568F">
              <w:rPr>
                <w:noProof/>
                <w:webHidden/>
              </w:rPr>
              <w:fldChar w:fldCharType="begin"/>
            </w:r>
            <w:r w:rsidR="00EA568F">
              <w:rPr>
                <w:noProof/>
                <w:webHidden/>
              </w:rPr>
              <w:instrText xml:space="preserve"> PAGEREF _Toc137714781 \h </w:instrText>
            </w:r>
            <w:r w:rsidR="00EA568F">
              <w:rPr>
                <w:noProof/>
                <w:webHidden/>
              </w:rPr>
            </w:r>
            <w:r w:rsidR="00EA568F">
              <w:rPr>
                <w:noProof/>
                <w:webHidden/>
              </w:rPr>
              <w:fldChar w:fldCharType="separate"/>
            </w:r>
            <w:r w:rsidR="00637F3E">
              <w:rPr>
                <w:noProof/>
                <w:webHidden/>
              </w:rPr>
              <w:t>2</w:t>
            </w:r>
            <w:r w:rsidR="00EA568F">
              <w:rPr>
                <w:noProof/>
                <w:webHidden/>
              </w:rPr>
              <w:fldChar w:fldCharType="end"/>
            </w:r>
          </w:hyperlink>
        </w:p>
        <w:p w14:paraId="641EC9C3" w14:textId="0076B201" w:rsidR="00EA568F" w:rsidRDefault="00B20937">
          <w:pPr>
            <w:pStyle w:val="TOC1"/>
            <w:rPr>
              <w:rFonts w:asciiTheme="minorHAnsi" w:eastAsiaTheme="minorEastAsia" w:hAnsiTheme="minorHAnsi" w:cstheme="minorBidi"/>
              <w:noProof/>
              <w:lang w:eastAsia="en-GB"/>
            </w:rPr>
          </w:pPr>
          <w:hyperlink w:anchor="_Toc137714782" w:history="1">
            <w:r w:rsidR="00EA568F" w:rsidRPr="00A6693E">
              <w:rPr>
                <w:rStyle w:val="Hyperlink"/>
                <w:noProof/>
              </w:rPr>
              <w:t>What are housing supply targets?</w:t>
            </w:r>
            <w:r w:rsidR="00EA568F">
              <w:rPr>
                <w:noProof/>
                <w:webHidden/>
              </w:rPr>
              <w:tab/>
            </w:r>
            <w:r w:rsidR="00EA568F">
              <w:rPr>
                <w:noProof/>
                <w:webHidden/>
              </w:rPr>
              <w:fldChar w:fldCharType="begin"/>
            </w:r>
            <w:r w:rsidR="00EA568F">
              <w:rPr>
                <w:noProof/>
                <w:webHidden/>
              </w:rPr>
              <w:instrText xml:space="preserve"> PAGEREF _Toc137714782 \h </w:instrText>
            </w:r>
            <w:r w:rsidR="00EA568F">
              <w:rPr>
                <w:noProof/>
                <w:webHidden/>
              </w:rPr>
            </w:r>
            <w:r w:rsidR="00EA568F">
              <w:rPr>
                <w:noProof/>
                <w:webHidden/>
              </w:rPr>
              <w:fldChar w:fldCharType="separate"/>
            </w:r>
            <w:r w:rsidR="00637F3E">
              <w:rPr>
                <w:noProof/>
                <w:webHidden/>
              </w:rPr>
              <w:t>2</w:t>
            </w:r>
            <w:r w:rsidR="00EA568F">
              <w:rPr>
                <w:noProof/>
                <w:webHidden/>
              </w:rPr>
              <w:fldChar w:fldCharType="end"/>
            </w:r>
          </w:hyperlink>
        </w:p>
        <w:p w14:paraId="0C2F3607" w14:textId="68230AE6" w:rsidR="00EA568F" w:rsidRDefault="00B20937">
          <w:pPr>
            <w:pStyle w:val="TOC1"/>
            <w:rPr>
              <w:rFonts w:asciiTheme="minorHAnsi" w:eastAsiaTheme="minorEastAsia" w:hAnsiTheme="minorHAnsi" w:cstheme="minorBidi"/>
              <w:noProof/>
              <w:lang w:eastAsia="en-GB"/>
            </w:rPr>
          </w:pPr>
          <w:hyperlink w:anchor="_Toc137714783" w:history="1">
            <w:r w:rsidR="00EA568F" w:rsidRPr="00A6693E">
              <w:rPr>
                <w:rStyle w:val="Hyperlink"/>
                <w:noProof/>
              </w:rPr>
              <w:t>Methodology</w:t>
            </w:r>
            <w:r w:rsidR="00EA568F">
              <w:rPr>
                <w:noProof/>
                <w:webHidden/>
              </w:rPr>
              <w:tab/>
            </w:r>
            <w:r w:rsidR="00EA568F">
              <w:rPr>
                <w:noProof/>
                <w:webHidden/>
              </w:rPr>
              <w:fldChar w:fldCharType="begin"/>
            </w:r>
            <w:r w:rsidR="00EA568F">
              <w:rPr>
                <w:noProof/>
                <w:webHidden/>
              </w:rPr>
              <w:instrText xml:space="preserve"> PAGEREF _Toc137714783 \h </w:instrText>
            </w:r>
            <w:r w:rsidR="00EA568F">
              <w:rPr>
                <w:noProof/>
                <w:webHidden/>
              </w:rPr>
            </w:r>
            <w:r w:rsidR="00EA568F">
              <w:rPr>
                <w:noProof/>
                <w:webHidden/>
              </w:rPr>
              <w:fldChar w:fldCharType="separate"/>
            </w:r>
            <w:r w:rsidR="00637F3E">
              <w:rPr>
                <w:noProof/>
                <w:webHidden/>
              </w:rPr>
              <w:t>2</w:t>
            </w:r>
            <w:r w:rsidR="00EA568F">
              <w:rPr>
                <w:noProof/>
                <w:webHidden/>
              </w:rPr>
              <w:fldChar w:fldCharType="end"/>
            </w:r>
          </w:hyperlink>
        </w:p>
        <w:p w14:paraId="0A386B82" w14:textId="7FA94B3C" w:rsidR="00EA568F" w:rsidRDefault="00B20937">
          <w:pPr>
            <w:pStyle w:val="TOC1"/>
            <w:rPr>
              <w:rFonts w:asciiTheme="minorHAnsi" w:eastAsiaTheme="minorEastAsia" w:hAnsiTheme="minorHAnsi" w:cstheme="minorBidi"/>
              <w:noProof/>
              <w:lang w:eastAsia="en-GB"/>
            </w:rPr>
          </w:pPr>
          <w:hyperlink w:anchor="_Toc137714784" w:history="1">
            <w:r w:rsidR="00EA568F" w:rsidRPr="00A6693E">
              <w:rPr>
                <w:rStyle w:val="Hyperlink"/>
                <w:noProof/>
              </w:rPr>
              <w:t>HNDA</w:t>
            </w:r>
            <w:r w:rsidR="00EA568F">
              <w:rPr>
                <w:noProof/>
                <w:webHidden/>
              </w:rPr>
              <w:tab/>
            </w:r>
            <w:r w:rsidR="00EA568F">
              <w:rPr>
                <w:noProof/>
                <w:webHidden/>
              </w:rPr>
              <w:fldChar w:fldCharType="begin"/>
            </w:r>
            <w:r w:rsidR="00EA568F">
              <w:rPr>
                <w:noProof/>
                <w:webHidden/>
              </w:rPr>
              <w:instrText xml:space="preserve"> PAGEREF _Toc137714784 \h </w:instrText>
            </w:r>
            <w:r w:rsidR="00EA568F">
              <w:rPr>
                <w:noProof/>
                <w:webHidden/>
              </w:rPr>
            </w:r>
            <w:r w:rsidR="00EA568F">
              <w:rPr>
                <w:noProof/>
                <w:webHidden/>
              </w:rPr>
              <w:fldChar w:fldCharType="separate"/>
            </w:r>
            <w:r w:rsidR="00637F3E">
              <w:rPr>
                <w:noProof/>
                <w:webHidden/>
              </w:rPr>
              <w:t>3</w:t>
            </w:r>
            <w:r w:rsidR="00EA568F">
              <w:rPr>
                <w:noProof/>
                <w:webHidden/>
              </w:rPr>
              <w:fldChar w:fldCharType="end"/>
            </w:r>
          </w:hyperlink>
        </w:p>
        <w:p w14:paraId="31812036" w14:textId="1951BFC9" w:rsidR="00EA568F" w:rsidRDefault="00B20937">
          <w:pPr>
            <w:pStyle w:val="TOC1"/>
            <w:rPr>
              <w:rFonts w:asciiTheme="minorHAnsi" w:eastAsiaTheme="minorEastAsia" w:hAnsiTheme="minorHAnsi" w:cstheme="minorBidi"/>
              <w:noProof/>
              <w:lang w:eastAsia="en-GB"/>
            </w:rPr>
          </w:pPr>
          <w:hyperlink w:anchor="_Toc137714785" w:history="1">
            <w:r w:rsidR="00EA568F" w:rsidRPr="00A6693E">
              <w:rPr>
                <w:rStyle w:val="Hyperlink"/>
                <w:noProof/>
              </w:rPr>
              <w:t>MATHLR</w:t>
            </w:r>
            <w:r w:rsidR="00EA568F">
              <w:rPr>
                <w:noProof/>
                <w:webHidden/>
              </w:rPr>
              <w:tab/>
            </w:r>
            <w:r w:rsidR="00EA568F">
              <w:rPr>
                <w:noProof/>
                <w:webHidden/>
              </w:rPr>
              <w:fldChar w:fldCharType="begin"/>
            </w:r>
            <w:r w:rsidR="00EA568F">
              <w:rPr>
                <w:noProof/>
                <w:webHidden/>
              </w:rPr>
              <w:instrText xml:space="preserve"> PAGEREF _Toc137714785 \h </w:instrText>
            </w:r>
            <w:r w:rsidR="00EA568F">
              <w:rPr>
                <w:noProof/>
                <w:webHidden/>
              </w:rPr>
            </w:r>
            <w:r w:rsidR="00EA568F">
              <w:rPr>
                <w:noProof/>
                <w:webHidden/>
              </w:rPr>
              <w:fldChar w:fldCharType="separate"/>
            </w:r>
            <w:r w:rsidR="00637F3E">
              <w:rPr>
                <w:noProof/>
                <w:webHidden/>
              </w:rPr>
              <w:t>3</w:t>
            </w:r>
            <w:r w:rsidR="00EA568F">
              <w:rPr>
                <w:noProof/>
                <w:webHidden/>
              </w:rPr>
              <w:fldChar w:fldCharType="end"/>
            </w:r>
          </w:hyperlink>
        </w:p>
        <w:p w14:paraId="41BD841F" w14:textId="341C270B" w:rsidR="00EA568F" w:rsidRDefault="00B20937">
          <w:pPr>
            <w:pStyle w:val="TOC1"/>
            <w:rPr>
              <w:rFonts w:asciiTheme="minorHAnsi" w:eastAsiaTheme="minorEastAsia" w:hAnsiTheme="minorHAnsi" w:cstheme="minorBidi"/>
              <w:noProof/>
              <w:lang w:eastAsia="en-GB"/>
            </w:rPr>
          </w:pPr>
          <w:hyperlink w:anchor="_Toc137714786" w:history="1">
            <w:r w:rsidR="00EA568F" w:rsidRPr="00A6693E">
              <w:rPr>
                <w:rStyle w:val="Hyperlink"/>
                <w:noProof/>
              </w:rPr>
              <w:t>Policy aspirations for population and housing growth</w:t>
            </w:r>
            <w:r w:rsidR="00EA568F">
              <w:rPr>
                <w:noProof/>
                <w:webHidden/>
              </w:rPr>
              <w:tab/>
            </w:r>
            <w:r w:rsidR="00EA568F">
              <w:rPr>
                <w:noProof/>
                <w:webHidden/>
              </w:rPr>
              <w:fldChar w:fldCharType="begin"/>
            </w:r>
            <w:r w:rsidR="00EA568F">
              <w:rPr>
                <w:noProof/>
                <w:webHidden/>
              </w:rPr>
              <w:instrText xml:space="preserve"> PAGEREF _Toc137714786 \h </w:instrText>
            </w:r>
            <w:r w:rsidR="00EA568F">
              <w:rPr>
                <w:noProof/>
                <w:webHidden/>
              </w:rPr>
            </w:r>
            <w:r w:rsidR="00EA568F">
              <w:rPr>
                <w:noProof/>
                <w:webHidden/>
              </w:rPr>
              <w:fldChar w:fldCharType="separate"/>
            </w:r>
            <w:r w:rsidR="00637F3E">
              <w:rPr>
                <w:noProof/>
                <w:webHidden/>
              </w:rPr>
              <w:t>4</w:t>
            </w:r>
            <w:r w:rsidR="00EA568F">
              <w:rPr>
                <w:noProof/>
                <w:webHidden/>
              </w:rPr>
              <w:fldChar w:fldCharType="end"/>
            </w:r>
          </w:hyperlink>
        </w:p>
        <w:p w14:paraId="1E825E33" w14:textId="077CACBC" w:rsidR="00EA568F" w:rsidRDefault="00B20937">
          <w:pPr>
            <w:pStyle w:val="TOC1"/>
            <w:rPr>
              <w:rFonts w:asciiTheme="minorHAnsi" w:eastAsiaTheme="minorEastAsia" w:hAnsiTheme="minorHAnsi" w:cstheme="minorBidi"/>
              <w:noProof/>
              <w:lang w:eastAsia="en-GB"/>
            </w:rPr>
          </w:pPr>
          <w:hyperlink w:anchor="_Toc137714787" w:history="1">
            <w:r w:rsidR="00EA568F" w:rsidRPr="00A6693E">
              <w:rPr>
                <w:rStyle w:val="Hyperlink"/>
                <w:noProof/>
              </w:rPr>
              <w:t>Practical Considerations</w:t>
            </w:r>
            <w:r w:rsidR="00EA568F">
              <w:rPr>
                <w:noProof/>
                <w:webHidden/>
              </w:rPr>
              <w:tab/>
            </w:r>
            <w:r w:rsidR="00EA568F">
              <w:rPr>
                <w:noProof/>
                <w:webHidden/>
              </w:rPr>
              <w:fldChar w:fldCharType="begin"/>
            </w:r>
            <w:r w:rsidR="00EA568F">
              <w:rPr>
                <w:noProof/>
                <w:webHidden/>
              </w:rPr>
              <w:instrText xml:space="preserve"> PAGEREF _Toc137714787 \h </w:instrText>
            </w:r>
            <w:r w:rsidR="00EA568F">
              <w:rPr>
                <w:noProof/>
                <w:webHidden/>
              </w:rPr>
            </w:r>
            <w:r w:rsidR="00EA568F">
              <w:rPr>
                <w:noProof/>
                <w:webHidden/>
              </w:rPr>
              <w:fldChar w:fldCharType="separate"/>
            </w:r>
            <w:r w:rsidR="00637F3E">
              <w:rPr>
                <w:noProof/>
                <w:webHidden/>
              </w:rPr>
              <w:t>5</w:t>
            </w:r>
            <w:r w:rsidR="00EA568F">
              <w:rPr>
                <w:noProof/>
                <w:webHidden/>
              </w:rPr>
              <w:fldChar w:fldCharType="end"/>
            </w:r>
          </w:hyperlink>
        </w:p>
        <w:p w14:paraId="0A648234" w14:textId="277EB4CF" w:rsidR="00EA568F" w:rsidRDefault="00B20937">
          <w:pPr>
            <w:pStyle w:val="TOC2"/>
            <w:tabs>
              <w:tab w:val="right" w:leader="dot" w:pos="9016"/>
            </w:tabs>
            <w:rPr>
              <w:rFonts w:asciiTheme="minorHAnsi" w:eastAsiaTheme="minorEastAsia" w:hAnsiTheme="minorHAnsi" w:cstheme="minorBidi"/>
              <w:noProof/>
              <w:lang w:eastAsia="en-GB"/>
            </w:rPr>
          </w:pPr>
          <w:hyperlink w:anchor="_Toc137714788" w:history="1">
            <w:r w:rsidR="00EA568F" w:rsidRPr="00A6693E">
              <w:rPr>
                <w:rStyle w:val="Hyperlink"/>
                <w:noProof/>
              </w:rPr>
              <w:t>Setting the baseline</w:t>
            </w:r>
            <w:r w:rsidR="00EA568F">
              <w:rPr>
                <w:noProof/>
                <w:webHidden/>
              </w:rPr>
              <w:tab/>
            </w:r>
            <w:r w:rsidR="00EA568F">
              <w:rPr>
                <w:noProof/>
                <w:webHidden/>
              </w:rPr>
              <w:fldChar w:fldCharType="begin"/>
            </w:r>
            <w:r w:rsidR="00EA568F">
              <w:rPr>
                <w:noProof/>
                <w:webHidden/>
              </w:rPr>
              <w:instrText xml:space="preserve"> PAGEREF _Toc137714788 \h </w:instrText>
            </w:r>
            <w:r w:rsidR="00EA568F">
              <w:rPr>
                <w:noProof/>
                <w:webHidden/>
              </w:rPr>
            </w:r>
            <w:r w:rsidR="00EA568F">
              <w:rPr>
                <w:noProof/>
                <w:webHidden/>
              </w:rPr>
              <w:fldChar w:fldCharType="separate"/>
            </w:r>
            <w:r w:rsidR="00637F3E">
              <w:rPr>
                <w:noProof/>
                <w:webHidden/>
              </w:rPr>
              <w:t>5</w:t>
            </w:r>
            <w:r w:rsidR="00EA568F">
              <w:rPr>
                <w:noProof/>
                <w:webHidden/>
              </w:rPr>
              <w:fldChar w:fldCharType="end"/>
            </w:r>
          </w:hyperlink>
        </w:p>
        <w:p w14:paraId="4CE3B6CB" w14:textId="574F4DD1" w:rsidR="00EA568F" w:rsidRDefault="00B20937">
          <w:pPr>
            <w:pStyle w:val="TOC2"/>
            <w:tabs>
              <w:tab w:val="right" w:leader="dot" w:pos="9016"/>
            </w:tabs>
            <w:rPr>
              <w:rFonts w:asciiTheme="minorHAnsi" w:eastAsiaTheme="minorEastAsia" w:hAnsiTheme="minorHAnsi" w:cstheme="minorBidi"/>
              <w:noProof/>
              <w:lang w:eastAsia="en-GB"/>
            </w:rPr>
          </w:pPr>
          <w:hyperlink w:anchor="_Toc137714789" w:history="1">
            <w:r w:rsidR="00EA568F" w:rsidRPr="00A6693E">
              <w:rPr>
                <w:rStyle w:val="Hyperlink"/>
                <w:noProof/>
              </w:rPr>
              <w:t>Economic issues that affect supply and demand</w:t>
            </w:r>
            <w:r w:rsidR="00EA568F">
              <w:rPr>
                <w:noProof/>
                <w:webHidden/>
              </w:rPr>
              <w:tab/>
            </w:r>
            <w:r w:rsidR="00EA568F">
              <w:rPr>
                <w:noProof/>
                <w:webHidden/>
              </w:rPr>
              <w:fldChar w:fldCharType="begin"/>
            </w:r>
            <w:r w:rsidR="00EA568F">
              <w:rPr>
                <w:noProof/>
                <w:webHidden/>
              </w:rPr>
              <w:instrText xml:space="preserve"> PAGEREF _Toc137714789 \h </w:instrText>
            </w:r>
            <w:r w:rsidR="00EA568F">
              <w:rPr>
                <w:noProof/>
                <w:webHidden/>
              </w:rPr>
            </w:r>
            <w:r w:rsidR="00EA568F">
              <w:rPr>
                <w:noProof/>
                <w:webHidden/>
              </w:rPr>
              <w:fldChar w:fldCharType="separate"/>
            </w:r>
            <w:r w:rsidR="00637F3E">
              <w:rPr>
                <w:noProof/>
                <w:webHidden/>
              </w:rPr>
              <w:t>6</w:t>
            </w:r>
            <w:r w:rsidR="00EA568F">
              <w:rPr>
                <w:noProof/>
                <w:webHidden/>
              </w:rPr>
              <w:fldChar w:fldCharType="end"/>
            </w:r>
          </w:hyperlink>
        </w:p>
        <w:p w14:paraId="56E86289" w14:textId="4C018826" w:rsidR="00EA568F" w:rsidRDefault="00B20937">
          <w:pPr>
            <w:pStyle w:val="TOC2"/>
            <w:tabs>
              <w:tab w:val="right" w:leader="dot" w:pos="9016"/>
            </w:tabs>
            <w:rPr>
              <w:rFonts w:asciiTheme="minorHAnsi" w:eastAsiaTheme="minorEastAsia" w:hAnsiTheme="minorHAnsi" w:cstheme="minorBidi"/>
              <w:noProof/>
              <w:lang w:eastAsia="en-GB"/>
            </w:rPr>
          </w:pPr>
          <w:hyperlink w:anchor="_Toc137714790" w:history="1">
            <w:r w:rsidR="00EA568F" w:rsidRPr="00A6693E">
              <w:rPr>
                <w:rStyle w:val="Hyperlink"/>
                <w:noProof/>
              </w:rPr>
              <w:t>Capacity of construction sector</w:t>
            </w:r>
            <w:r w:rsidR="00EA568F">
              <w:rPr>
                <w:noProof/>
                <w:webHidden/>
              </w:rPr>
              <w:tab/>
            </w:r>
            <w:r w:rsidR="00EA568F">
              <w:rPr>
                <w:noProof/>
                <w:webHidden/>
              </w:rPr>
              <w:fldChar w:fldCharType="begin"/>
            </w:r>
            <w:r w:rsidR="00EA568F">
              <w:rPr>
                <w:noProof/>
                <w:webHidden/>
              </w:rPr>
              <w:instrText xml:space="preserve"> PAGEREF _Toc137714790 \h </w:instrText>
            </w:r>
            <w:r w:rsidR="00EA568F">
              <w:rPr>
                <w:noProof/>
                <w:webHidden/>
              </w:rPr>
            </w:r>
            <w:r w:rsidR="00EA568F">
              <w:rPr>
                <w:noProof/>
                <w:webHidden/>
              </w:rPr>
              <w:fldChar w:fldCharType="separate"/>
            </w:r>
            <w:r w:rsidR="00637F3E">
              <w:rPr>
                <w:noProof/>
                <w:webHidden/>
              </w:rPr>
              <w:t>7</w:t>
            </w:r>
            <w:r w:rsidR="00EA568F">
              <w:rPr>
                <w:noProof/>
                <w:webHidden/>
              </w:rPr>
              <w:fldChar w:fldCharType="end"/>
            </w:r>
          </w:hyperlink>
        </w:p>
        <w:p w14:paraId="2C1904FA" w14:textId="4EDA0D4E" w:rsidR="00EA568F" w:rsidRDefault="00B20937">
          <w:pPr>
            <w:pStyle w:val="TOC2"/>
            <w:tabs>
              <w:tab w:val="right" w:leader="dot" w:pos="9016"/>
            </w:tabs>
            <w:rPr>
              <w:rFonts w:asciiTheme="minorHAnsi" w:eastAsiaTheme="minorEastAsia" w:hAnsiTheme="minorHAnsi" w:cstheme="minorBidi"/>
              <w:noProof/>
              <w:lang w:eastAsia="en-GB"/>
            </w:rPr>
          </w:pPr>
          <w:hyperlink w:anchor="_Toc137714791" w:history="1">
            <w:r w:rsidR="00EA568F" w:rsidRPr="00A6693E">
              <w:rPr>
                <w:rStyle w:val="Hyperlink"/>
                <w:noProof/>
              </w:rPr>
              <w:t>Interdependency between delivery of market and affordable housing</w:t>
            </w:r>
            <w:r w:rsidR="00EA568F">
              <w:rPr>
                <w:noProof/>
                <w:webHidden/>
              </w:rPr>
              <w:tab/>
            </w:r>
            <w:r w:rsidR="00EA568F">
              <w:rPr>
                <w:noProof/>
                <w:webHidden/>
              </w:rPr>
              <w:fldChar w:fldCharType="begin"/>
            </w:r>
            <w:r w:rsidR="00EA568F">
              <w:rPr>
                <w:noProof/>
                <w:webHidden/>
              </w:rPr>
              <w:instrText xml:space="preserve"> PAGEREF _Toc137714791 \h </w:instrText>
            </w:r>
            <w:r w:rsidR="00EA568F">
              <w:rPr>
                <w:noProof/>
                <w:webHidden/>
              </w:rPr>
            </w:r>
            <w:r w:rsidR="00EA568F">
              <w:rPr>
                <w:noProof/>
                <w:webHidden/>
              </w:rPr>
              <w:fldChar w:fldCharType="separate"/>
            </w:r>
            <w:r w:rsidR="00637F3E">
              <w:rPr>
                <w:noProof/>
                <w:webHidden/>
              </w:rPr>
              <w:t>8</w:t>
            </w:r>
            <w:r w:rsidR="00EA568F">
              <w:rPr>
                <w:noProof/>
                <w:webHidden/>
              </w:rPr>
              <w:fldChar w:fldCharType="end"/>
            </w:r>
          </w:hyperlink>
        </w:p>
        <w:p w14:paraId="56E0B12D" w14:textId="52D8635A" w:rsidR="00EA568F" w:rsidRDefault="00B20937">
          <w:pPr>
            <w:pStyle w:val="TOC2"/>
            <w:tabs>
              <w:tab w:val="right" w:leader="dot" w:pos="9016"/>
            </w:tabs>
            <w:rPr>
              <w:rFonts w:asciiTheme="minorHAnsi" w:eastAsiaTheme="minorEastAsia" w:hAnsiTheme="minorHAnsi" w:cstheme="minorBidi"/>
              <w:noProof/>
              <w:lang w:eastAsia="en-GB"/>
            </w:rPr>
          </w:pPr>
          <w:hyperlink w:anchor="_Toc137714792" w:history="1">
            <w:r w:rsidR="00EA568F" w:rsidRPr="00A6693E">
              <w:rPr>
                <w:rStyle w:val="Hyperlink"/>
                <w:noProof/>
              </w:rPr>
              <w:t>Availability of resources</w:t>
            </w:r>
            <w:r w:rsidR="00EA568F">
              <w:rPr>
                <w:noProof/>
                <w:webHidden/>
              </w:rPr>
              <w:tab/>
            </w:r>
            <w:r w:rsidR="00EA568F">
              <w:rPr>
                <w:noProof/>
                <w:webHidden/>
              </w:rPr>
              <w:fldChar w:fldCharType="begin"/>
            </w:r>
            <w:r w:rsidR="00EA568F">
              <w:rPr>
                <w:noProof/>
                <w:webHidden/>
              </w:rPr>
              <w:instrText xml:space="preserve"> PAGEREF _Toc137714792 \h </w:instrText>
            </w:r>
            <w:r w:rsidR="00EA568F">
              <w:rPr>
                <w:noProof/>
                <w:webHidden/>
              </w:rPr>
            </w:r>
            <w:r w:rsidR="00EA568F">
              <w:rPr>
                <w:noProof/>
                <w:webHidden/>
              </w:rPr>
              <w:fldChar w:fldCharType="separate"/>
            </w:r>
            <w:r w:rsidR="00637F3E">
              <w:rPr>
                <w:noProof/>
                <w:webHidden/>
              </w:rPr>
              <w:t>9</w:t>
            </w:r>
            <w:r w:rsidR="00EA568F">
              <w:rPr>
                <w:noProof/>
                <w:webHidden/>
              </w:rPr>
              <w:fldChar w:fldCharType="end"/>
            </w:r>
          </w:hyperlink>
        </w:p>
        <w:p w14:paraId="04F9FAB2" w14:textId="67C7AA13" w:rsidR="00EA568F" w:rsidRDefault="00B20937">
          <w:pPr>
            <w:pStyle w:val="TOC2"/>
            <w:tabs>
              <w:tab w:val="right" w:leader="dot" w:pos="9016"/>
            </w:tabs>
            <w:rPr>
              <w:rFonts w:asciiTheme="minorHAnsi" w:eastAsiaTheme="minorEastAsia" w:hAnsiTheme="minorHAnsi" w:cstheme="minorBidi"/>
              <w:noProof/>
              <w:lang w:eastAsia="en-GB"/>
            </w:rPr>
          </w:pPr>
          <w:hyperlink w:anchor="_Toc137714793" w:history="1">
            <w:r w:rsidR="00EA568F" w:rsidRPr="00A6693E">
              <w:rPr>
                <w:rStyle w:val="Hyperlink"/>
                <w:noProof/>
              </w:rPr>
              <w:t>Likely pace and scale of delivery based on completion rates</w:t>
            </w:r>
            <w:r w:rsidR="00EA568F">
              <w:rPr>
                <w:noProof/>
                <w:webHidden/>
              </w:rPr>
              <w:tab/>
            </w:r>
            <w:r w:rsidR="00EA568F">
              <w:rPr>
                <w:noProof/>
                <w:webHidden/>
              </w:rPr>
              <w:fldChar w:fldCharType="begin"/>
            </w:r>
            <w:r w:rsidR="00EA568F">
              <w:rPr>
                <w:noProof/>
                <w:webHidden/>
              </w:rPr>
              <w:instrText xml:space="preserve"> PAGEREF _Toc137714793 \h </w:instrText>
            </w:r>
            <w:r w:rsidR="00EA568F">
              <w:rPr>
                <w:noProof/>
                <w:webHidden/>
              </w:rPr>
            </w:r>
            <w:r w:rsidR="00EA568F">
              <w:rPr>
                <w:noProof/>
                <w:webHidden/>
              </w:rPr>
              <w:fldChar w:fldCharType="separate"/>
            </w:r>
            <w:r w:rsidR="00637F3E">
              <w:rPr>
                <w:noProof/>
                <w:webHidden/>
              </w:rPr>
              <w:t>9</w:t>
            </w:r>
            <w:r w:rsidR="00EA568F">
              <w:rPr>
                <w:noProof/>
                <w:webHidden/>
              </w:rPr>
              <w:fldChar w:fldCharType="end"/>
            </w:r>
          </w:hyperlink>
        </w:p>
        <w:p w14:paraId="05132EFF" w14:textId="49204B75" w:rsidR="00EA568F" w:rsidRDefault="00B20937">
          <w:pPr>
            <w:pStyle w:val="TOC2"/>
            <w:tabs>
              <w:tab w:val="right" w:leader="dot" w:pos="9016"/>
            </w:tabs>
            <w:rPr>
              <w:rFonts w:asciiTheme="minorHAnsi" w:eastAsiaTheme="minorEastAsia" w:hAnsiTheme="minorHAnsi" w:cstheme="minorBidi"/>
              <w:noProof/>
              <w:lang w:eastAsia="en-GB"/>
            </w:rPr>
          </w:pPr>
          <w:hyperlink w:anchor="_Toc137714794" w:history="1">
            <w:r w:rsidR="00EA568F" w:rsidRPr="00A6693E">
              <w:rPr>
                <w:rStyle w:val="Hyperlink"/>
                <w:noProof/>
              </w:rPr>
              <w:t>Recent Development Levels</w:t>
            </w:r>
            <w:r w:rsidR="00EA568F">
              <w:rPr>
                <w:noProof/>
                <w:webHidden/>
              </w:rPr>
              <w:tab/>
            </w:r>
            <w:r w:rsidR="00EA568F">
              <w:rPr>
                <w:noProof/>
                <w:webHidden/>
              </w:rPr>
              <w:fldChar w:fldCharType="begin"/>
            </w:r>
            <w:r w:rsidR="00EA568F">
              <w:rPr>
                <w:noProof/>
                <w:webHidden/>
              </w:rPr>
              <w:instrText xml:space="preserve"> PAGEREF _Toc137714794 \h </w:instrText>
            </w:r>
            <w:r w:rsidR="00EA568F">
              <w:rPr>
                <w:noProof/>
                <w:webHidden/>
              </w:rPr>
            </w:r>
            <w:r w:rsidR="00EA568F">
              <w:rPr>
                <w:noProof/>
                <w:webHidden/>
              </w:rPr>
              <w:fldChar w:fldCharType="separate"/>
            </w:r>
            <w:r w:rsidR="00637F3E">
              <w:rPr>
                <w:noProof/>
                <w:webHidden/>
              </w:rPr>
              <w:t>10</w:t>
            </w:r>
            <w:r w:rsidR="00EA568F">
              <w:rPr>
                <w:noProof/>
                <w:webHidden/>
              </w:rPr>
              <w:fldChar w:fldCharType="end"/>
            </w:r>
          </w:hyperlink>
        </w:p>
        <w:p w14:paraId="4BFEA62E" w14:textId="74E36B46" w:rsidR="00EA568F" w:rsidRDefault="00B20937">
          <w:pPr>
            <w:pStyle w:val="TOC2"/>
            <w:tabs>
              <w:tab w:val="right" w:leader="dot" w:pos="9016"/>
            </w:tabs>
            <w:rPr>
              <w:rFonts w:asciiTheme="minorHAnsi" w:eastAsiaTheme="minorEastAsia" w:hAnsiTheme="minorHAnsi" w:cstheme="minorBidi"/>
              <w:noProof/>
              <w:lang w:eastAsia="en-GB"/>
            </w:rPr>
          </w:pPr>
          <w:hyperlink w:anchor="_Toc137714795" w:history="1">
            <w:r w:rsidR="00EA568F" w:rsidRPr="00A6693E">
              <w:rPr>
                <w:rStyle w:val="Hyperlink"/>
                <w:noProof/>
              </w:rPr>
              <w:t>Planned replacement housing or housing being brought back into effective use</w:t>
            </w:r>
            <w:r w:rsidR="00EA568F">
              <w:rPr>
                <w:noProof/>
                <w:webHidden/>
              </w:rPr>
              <w:tab/>
            </w:r>
            <w:r w:rsidR="00EA568F">
              <w:rPr>
                <w:noProof/>
                <w:webHidden/>
              </w:rPr>
              <w:fldChar w:fldCharType="begin"/>
            </w:r>
            <w:r w:rsidR="00EA568F">
              <w:rPr>
                <w:noProof/>
                <w:webHidden/>
              </w:rPr>
              <w:instrText xml:space="preserve"> PAGEREF _Toc137714795 \h </w:instrText>
            </w:r>
            <w:r w:rsidR="00EA568F">
              <w:rPr>
                <w:noProof/>
                <w:webHidden/>
              </w:rPr>
            </w:r>
            <w:r w:rsidR="00EA568F">
              <w:rPr>
                <w:noProof/>
                <w:webHidden/>
              </w:rPr>
              <w:fldChar w:fldCharType="separate"/>
            </w:r>
            <w:r w:rsidR="00637F3E">
              <w:rPr>
                <w:noProof/>
                <w:webHidden/>
              </w:rPr>
              <w:t>10</w:t>
            </w:r>
            <w:r w:rsidR="00EA568F">
              <w:rPr>
                <w:noProof/>
                <w:webHidden/>
              </w:rPr>
              <w:fldChar w:fldCharType="end"/>
            </w:r>
          </w:hyperlink>
        </w:p>
        <w:p w14:paraId="033A1FBC" w14:textId="30036DFC" w:rsidR="00EA568F" w:rsidRDefault="00B20937">
          <w:pPr>
            <w:pStyle w:val="TOC2"/>
            <w:tabs>
              <w:tab w:val="right" w:leader="dot" w:pos="9016"/>
            </w:tabs>
            <w:rPr>
              <w:rFonts w:asciiTheme="minorHAnsi" w:eastAsiaTheme="minorEastAsia" w:hAnsiTheme="minorHAnsi" w:cstheme="minorBidi"/>
              <w:noProof/>
              <w:lang w:eastAsia="en-GB"/>
            </w:rPr>
          </w:pPr>
          <w:hyperlink w:anchor="_Toc137714796" w:history="1">
            <w:r w:rsidR="00EA568F" w:rsidRPr="00A6693E">
              <w:rPr>
                <w:rStyle w:val="Hyperlink"/>
                <w:noProof/>
              </w:rPr>
              <w:t>Planned demolitions</w:t>
            </w:r>
            <w:r w:rsidR="00EA568F">
              <w:rPr>
                <w:noProof/>
                <w:webHidden/>
              </w:rPr>
              <w:tab/>
            </w:r>
            <w:r w:rsidR="00EA568F">
              <w:rPr>
                <w:noProof/>
                <w:webHidden/>
              </w:rPr>
              <w:fldChar w:fldCharType="begin"/>
            </w:r>
            <w:r w:rsidR="00EA568F">
              <w:rPr>
                <w:noProof/>
                <w:webHidden/>
              </w:rPr>
              <w:instrText xml:space="preserve"> PAGEREF _Toc137714796 \h </w:instrText>
            </w:r>
            <w:r w:rsidR="00EA568F">
              <w:rPr>
                <w:noProof/>
                <w:webHidden/>
              </w:rPr>
            </w:r>
            <w:r w:rsidR="00EA568F">
              <w:rPr>
                <w:noProof/>
                <w:webHidden/>
              </w:rPr>
              <w:fldChar w:fldCharType="separate"/>
            </w:r>
            <w:r w:rsidR="00637F3E">
              <w:rPr>
                <w:noProof/>
                <w:webHidden/>
              </w:rPr>
              <w:t>10</w:t>
            </w:r>
            <w:r w:rsidR="00EA568F">
              <w:rPr>
                <w:noProof/>
                <w:webHidden/>
              </w:rPr>
              <w:fldChar w:fldCharType="end"/>
            </w:r>
          </w:hyperlink>
        </w:p>
        <w:p w14:paraId="67E02DC9" w14:textId="25D69750" w:rsidR="00EA568F" w:rsidRDefault="00B20937">
          <w:pPr>
            <w:pStyle w:val="TOC1"/>
            <w:rPr>
              <w:rFonts w:asciiTheme="minorHAnsi" w:eastAsiaTheme="minorEastAsia" w:hAnsiTheme="minorHAnsi" w:cstheme="minorBidi"/>
              <w:noProof/>
              <w:lang w:eastAsia="en-GB"/>
            </w:rPr>
          </w:pPr>
          <w:hyperlink w:anchor="_Toc137714797" w:history="1">
            <w:r w:rsidR="00EA568F" w:rsidRPr="00A6693E">
              <w:rPr>
                <w:rStyle w:val="Hyperlink"/>
                <w:noProof/>
              </w:rPr>
              <w:t>Inverclyde’s Housing Supply Target</w:t>
            </w:r>
            <w:r w:rsidR="00EA568F">
              <w:rPr>
                <w:noProof/>
                <w:webHidden/>
              </w:rPr>
              <w:tab/>
            </w:r>
            <w:r w:rsidR="00EA568F">
              <w:rPr>
                <w:noProof/>
                <w:webHidden/>
              </w:rPr>
              <w:fldChar w:fldCharType="begin"/>
            </w:r>
            <w:r w:rsidR="00EA568F">
              <w:rPr>
                <w:noProof/>
                <w:webHidden/>
              </w:rPr>
              <w:instrText xml:space="preserve"> PAGEREF _Toc137714797 \h </w:instrText>
            </w:r>
            <w:r w:rsidR="00EA568F">
              <w:rPr>
                <w:noProof/>
                <w:webHidden/>
              </w:rPr>
            </w:r>
            <w:r w:rsidR="00EA568F">
              <w:rPr>
                <w:noProof/>
                <w:webHidden/>
              </w:rPr>
              <w:fldChar w:fldCharType="separate"/>
            </w:r>
            <w:r w:rsidR="00637F3E">
              <w:rPr>
                <w:noProof/>
                <w:webHidden/>
              </w:rPr>
              <w:t>10</w:t>
            </w:r>
            <w:r w:rsidR="00EA568F">
              <w:rPr>
                <w:noProof/>
                <w:webHidden/>
              </w:rPr>
              <w:fldChar w:fldCharType="end"/>
            </w:r>
          </w:hyperlink>
        </w:p>
        <w:p w14:paraId="1E496498" w14:textId="2964E2A5" w:rsidR="00EA568F" w:rsidRDefault="00B20937">
          <w:pPr>
            <w:pStyle w:val="TOC1"/>
            <w:rPr>
              <w:rFonts w:asciiTheme="minorHAnsi" w:eastAsiaTheme="minorEastAsia" w:hAnsiTheme="minorHAnsi" w:cstheme="minorBidi"/>
              <w:noProof/>
              <w:lang w:eastAsia="en-GB"/>
            </w:rPr>
          </w:pPr>
          <w:hyperlink w:anchor="_Toc137714798" w:history="1">
            <w:r w:rsidR="00EA568F" w:rsidRPr="00A6693E">
              <w:rPr>
                <w:rStyle w:val="Hyperlink"/>
                <w:noProof/>
              </w:rPr>
              <w:t>Conclusion</w:t>
            </w:r>
            <w:r w:rsidR="00EA568F">
              <w:rPr>
                <w:noProof/>
                <w:webHidden/>
              </w:rPr>
              <w:tab/>
            </w:r>
            <w:r w:rsidR="00EA568F">
              <w:rPr>
                <w:noProof/>
                <w:webHidden/>
              </w:rPr>
              <w:fldChar w:fldCharType="begin"/>
            </w:r>
            <w:r w:rsidR="00EA568F">
              <w:rPr>
                <w:noProof/>
                <w:webHidden/>
              </w:rPr>
              <w:instrText xml:space="preserve"> PAGEREF _Toc137714798 \h </w:instrText>
            </w:r>
            <w:r w:rsidR="00EA568F">
              <w:rPr>
                <w:noProof/>
                <w:webHidden/>
              </w:rPr>
            </w:r>
            <w:r w:rsidR="00EA568F">
              <w:rPr>
                <w:noProof/>
                <w:webHidden/>
              </w:rPr>
              <w:fldChar w:fldCharType="separate"/>
            </w:r>
            <w:r w:rsidR="00637F3E">
              <w:rPr>
                <w:noProof/>
                <w:webHidden/>
              </w:rPr>
              <w:t>11</w:t>
            </w:r>
            <w:r w:rsidR="00EA568F">
              <w:rPr>
                <w:noProof/>
                <w:webHidden/>
              </w:rPr>
              <w:fldChar w:fldCharType="end"/>
            </w:r>
          </w:hyperlink>
        </w:p>
        <w:p w14:paraId="0B544E9A" w14:textId="00A4ED45" w:rsidR="00B01D8B" w:rsidRDefault="00B01D8B" w:rsidP="005E5542">
          <w:pPr>
            <w:jc w:val="both"/>
          </w:pPr>
          <w:r>
            <w:rPr>
              <w:b/>
              <w:bCs/>
            </w:rPr>
            <w:fldChar w:fldCharType="end"/>
          </w:r>
        </w:p>
      </w:sdtContent>
    </w:sdt>
    <w:p w14:paraId="26462E6B" w14:textId="77777777" w:rsidR="00B01D8B" w:rsidRDefault="00B01D8B" w:rsidP="005E5542">
      <w:pPr>
        <w:spacing w:after="160" w:line="259" w:lineRule="auto"/>
        <w:jc w:val="both"/>
        <w:rPr>
          <w:rFonts w:asciiTheme="majorHAnsi" w:eastAsiaTheme="majorEastAsia" w:hAnsiTheme="majorHAnsi" w:cstheme="majorBidi"/>
          <w:color w:val="2F5496" w:themeColor="accent1" w:themeShade="BF"/>
          <w:sz w:val="32"/>
          <w:szCs w:val="32"/>
        </w:rPr>
      </w:pPr>
      <w:r>
        <w:br w:type="page"/>
      </w:r>
    </w:p>
    <w:p w14:paraId="722CEB3E" w14:textId="5193984A" w:rsidR="00B43276" w:rsidRDefault="00F82BB2" w:rsidP="005E5542">
      <w:pPr>
        <w:pStyle w:val="Heading1"/>
        <w:jc w:val="both"/>
      </w:pPr>
      <w:bookmarkStart w:id="1" w:name="_Toc137714781"/>
      <w:r>
        <w:lastRenderedPageBreak/>
        <w:t>Background</w:t>
      </w:r>
      <w:bookmarkEnd w:id="1"/>
    </w:p>
    <w:p w14:paraId="51A88AE6" w14:textId="5A153D86" w:rsidR="009F07D8" w:rsidRPr="00AF0077" w:rsidRDefault="009F07D8" w:rsidP="005E5542">
      <w:pPr>
        <w:jc w:val="both"/>
        <w:rPr>
          <w:sz w:val="24"/>
          <w:szCs w:val="24"/>
        </w:rPr>
      </w:pPr>
      <w:r w:rsidRPr="00AF0077">
        <w:rPr>
          <w:sz w:val="24"/>
          <w:szCs w:val="24"/>
        </w:rPr>
        <w:t>Developing housing supply targets</w:t>
      </w:r>
      <w:r w:rsidR="00D3085C">
        <w:rPr>
          <w:sz w:val="24"/>
          <w:szCs w:val="24"/>
        </w:rPr>
        <w:t xml:space="preserve"> (HST)</w:t>
      </w:r>
      <w:r w:rsidRPr="00AF0077">
        <w:rPr>
          <w:sz w:val="24"/>
          <w:szCs w:val="24"/>
        </w:rPr>
        <w:t xml:space="preserve"> form a key component of the housing planning process for Local Authorities in meeting statutory requirements to produce Local Development Plans and Local Housing Strategies. As such</w:t>
      </w:r>
      <w:r w:rsidR="002A4C47">
        <w:rPr>
          <w:sz w:val="24"/>
          <w:szCs w:val="24"/>
        </w:rPr>
        <w:t>,</w:t>
      </w:r>
      <w:r w:rsidRPr="00AF0077">
        <w:rPr>
          <w:sz w:val="24"/>
          <w:szCs w:val="24"/>
        </w:rPr>
        <w:t xml:space="preserve"> for Inverclyde Council and </w:t>
      </w:r>
      <w:r w:rsidR="008F4778" w:rsidRPr="00AF0077">
        <w:rPr>
          <w:sz w:val="24"/>
          <w:szCs w:val="24"/>
        </w:rPr>
        <w:t>partners a</w:t>
      </w:r>
      <w:r w:rsidRPr="00AF0077">
        <w:rPr>
          <w:sz w:val="24"/>
          <w:szCs w:val="24"/>
        </w:rPr>
        <w:t xml:space="preserve"> key part of developing </w:t>
      </w:r>
      <w:r w:rsidR="00942312">
        <w:rPr>
          <w:sz w:val="24"/>
          <w:szCs w:val="24"/>
        </w:rPr>
        <w:t xml:space="preserve">the Inverclyde </w:t>
      </w:r>
      <w:r w:rsidRPr="00AF0077">
        <w:rPr>
          <w:sz w:val="24"/>
          <w:szCs w:val="24"/>
        </w:rPr>
        <w:t>L</w:t>
      </w:r>
      <w:r w:rsidR="00942312">
        <w:rPr>
          <w:sz w:val="24"/>
          <w:szCs w:val="24"/>
        </w:rPr>
        <w:t xml:space="preserve">ocal </w:t>
      </w:r>
      <w:r w:rsidRPr="00AF0077">
        <w:rPr>
          <w:sz w:val="24"/>
          <w:szCs w:val="24"/>
        </w:rPr>
        <w:t>H</w:t>
      </w:r>
      <w:r w:rsidR="00942312">
        <w:rPr>
          <w:sz w:val="24"/>
          <w:szCs w:val="24"/>
        </w:rPr>
        <w:t xml:space="preserve">ousing </w:t>
      </w:r>
      <w:r w:rsidRPr="00AF0077">
        <w:rPr>
          <w:sz w:val="24"/>
          <w:szCs w:val="24"/>
        </w:rPr>
        <w:t>S</w:t>
      </w:r>
      <w:r w:rsidR="00942312">
        <w:rPr>
          <w:sz w:val="24"/>
          <w:szCs w:val="24"/>
        </w:rPr>
        <w:t>trategy (LHS)</w:t>
      </w:r>
      <w:r w:rsidRPr="00AF0077">
        <w:rPr>
          <w:sz w:val="24"/>
          <w:szCs w:val="24"/>
        </w:rPr>
        <w:t xml:space="preserve"> 2023-28 is to produce a new set of housing supply targets across all tenures. </w:t>
      </w:r>
      <w:r w:rsidR="008F4778" w:rsidRPr="00AF0077">
        <w:rPr>
          <w:sz w:val="24"/>
          <w:szCs w:val="24"/>
        </w:rPr>
        <w:t xml:space="preserve">The </w:t>
      </w:r>
      <w:r w:rsidR="00D3085C">
        <w:rPr>
          <w:sz w:val="24"/>
          <w:szCs w:val="24"/>
        </w:rPr>
        <w:t>following paper</w:t>
      </w:r>
      <w:r w:rsidR="00D3085C" w:rsidRPr="00AF0077">
        <w:rPr>
          <w:sz w:val="24"/>
          <w:szCs w:val="24"/>
        </w:rPr>
        <w:t xml:space="preserve"> </w:t>
      </w:r>
      <w:r w:rsidR="008F4778" w:rsidRPr="00AF0077">
        <w:rPr>
          <w:sz w:val="24"/>
          <w:szCs w:val="24"/>
        </w:rPr>
        <w:t xml:space="preserve">sets out the rationale </w:t>
      </w:r>
      <w:r w:rsidR="00D3085C">
        <w:rPr>
          <w:sz w:val="24"/>
          <w:szCs w:val="24"/>
        </w:rPr>
        <w:t>for setting Inverclyde’s</w:t>
      </w:r>
      <w:r w:rsidR="008F4778" w:rsidRPr="00AF0077">
        <w:rPr>
          <w:sz w:val="24"/>
          <w:szCs w:val="24"/>
        </w:rPr>
        <w:t xml:space="preserve"> housing supply targets </w:t>
      </w:r>
      <w:r w:rsidR="00D3085C">
        <w:rPr>
          <w:sz w:val="24"/>
          <w:szCs w:val="24"/>
        </w:rPr>
        <w:t>which</w:t>
      </w:r>
      <w:r w:rsidR="00D3085C" w:rsidRPr="00AF0077">
        <w:rPr>
          <w:sz w:val="24"/>
          <w:szCs w:val="24"/>
        </w:rPr>
        <w:t xml:space="preserve"> </w:t>
      </w:r>
      <w:r w:rsidR="008F4778" w:rsidRPr="00AF0077">
        <w:rPr>
          <w:sz w:val="24"/>
          <w:szCs w:val="24"/>
        </w:rPr>
        <w:t xml:space="preserve">are </w:t>
      </w:r>
      <w:r w:rsidR="00D3085C">
        <w:rPr>
          <w:sz w:val="24"/>
          <w:szCs w:val="24"/>
        </w:rPr>
        <w:t>presented</w:t>
      </w:r>
      <w:r w:rsidR="00D3085C" w:rsidRPr="00AF0077">
        <w:rPr>
          <w:sz w:val="24"/>
          <w:szCs w:val="24"/>
        </w:rPr>
        <w:t xml:space="preserve"> </w:t>
      </w:r>
      <w:r w:rsidR="008F4778" w:rsidRPr="00AF0077">
        <w:rPr>
          <w:sz w:val="24"/>
          <w:szCs w:val="24"/>
        </w:rPr>
        <w:t xml:space="preserve">within </w:t>
      </w:r>
      <w:r w:rsidR="00D3085C">
        <w:rPr>
          <w:sz w:val="24"/>
          <w:szCs w:val="24"/>
        </w:rPr>
        <w:t xml:space="preserve">the </w:t>
      </w:r>
      <w:r w:rsidR="00942312">
        <w:rPr>
          <w:sz w:val="24"/>
          <w:szCs w:val="24"/>
        </w:rPr>
        <w:t>LHS</w:t>
      </w:r>
      <w:r w:rsidR="008F4778" w:rsidRPr="00AF0077">
        <w:rPr>
          <w:sz w:val="24"/>
          <w:szCs w:val="24"/>
        </w:rPr>
        <w:t xml:space="preserve">. </w:t>
      </w:r>
    </w:p>
    <w:p w14:paraId="55EF20E7" w14:textId="02E82A75" w:rsidR="00EA16EA" w:rsidRPr="00EA16EA" w:rsidRDefault="00EA16EA" w:rsidP="005E5542">
      <w:pPr>
        <w:pStyle w:val="Heading1"/>
        <w:jc w:val="both"/>
      </w:pPr>
      <w:bookmarkStart w:id="2" w:name="_Toc137714782"/>
      <w:r>
        <w:t>What are housing supply targets?</w:t>
      </w:r>
      <w:bookmarkEnd w:id="2"/>
      <w:r>
        <w:t xml:space="preserve"> </w:t>
      </w:r>
    </w:p>
    <w:p w14:paraId="372DCF25" w14:textId="09E71BA2" w:rsidR="004235E8" w:rsidRPr="00AF0077" w:rsidRDefault="00EA16EA" w:rsidP="005E5542">
      <w:pPr>
        <w:jc w:val="both"/>
        <w:rPr>
          <w:sz w:val="24"/>
          <w:szCs w:val="24"/>
        </w:rPr>
      </w:pPr>
      <w:r w:rsidRPr="00AF0077">
        <w:rPr>
          <w:sz w:val="24"/>
          <w:szCs w:val="24"/>
        </w:rPr>
        <w:t>Housing supply targets are a crucial part of the planning process</w:t>
      </w:r>
      <w:r w:rsidR="00280DD2" w:rsidRPr="00AF0077">
        <w:rPr>
          <w:sz w:val="24"/>
          <w:szCs w:val="24"/>
        </w:rPr>
        <w:t>. They should be distinguished from Housing Need and Demand Assessments</w:t>
      </w:r>
      <w:r w:rsidR="00D3085C">
        <w:rPr>
          <w:sz w:val="24"/>
          <w:szCs w:val="24"/>
        </w:rPr>
        <w:t xml:space="preserve"> (HNDA)</w:t>
      </w:r>
      <w:r w:rsidR="00280DD2" w:rsidRPr="00AF0077">
        <w:rPr>
          <w:sz w:val="24"/>
          <w:szCs w:val="24"/>
        </w:rPr>
        <w:t xml:space="preserve"> which forms a robust and credible evidence base </w:t>
      </w:r>
      <w:r w:rsidR="009D70E5" w:rsidRPr="00AF0077">
        <w:rPr>
          <w:sz w:val="24"/>
          <w:szCs w:val="24"/>
        </w:rPr>
        <w:t>for housing planning</w:t>
      </w:r>
      <w:r w:rsidR="00D3085C">
        <w:rPr>
          <w:sz w:val="24"/>
          <w:szCs w:val="24"/>
        </w:rPr>
        <w:t>.</w:t>
      </w:r>
      <w:r w:rsidR="009D70E5" w:rsidRPr="00AF0077">
        <w:rPr>
          <w:sz w:val="24"/>
          <w:szCs w:val="24"/>
        </w:rPr>
        <w:t xml:space="preserve"> </w:t>
      </w:r>
      <w:r w:rsidR="00D3085C">
        <w:rPr>
          <w:sz w:val="24"/>
          <w:szCs w:val="24"/>
        </w:rPr>
        <w:t>An HNDA</w:t>
      </w:r>
      <w:r w:rsidR="009D70E5" w:rsidRPr="00AF0077">
        <w:rPr>
          <w:sz w:val="24"/>
          <w:szCs w:val="24"/>
        </w:rPr>
        <w:t xml:space="preserve"> </w:t>
      </w:r>
      <w:r w:rsidR="00D3085C">
        <w:rPr>
          <w:sz w:val="24"/>
          <w:szCs w:val="24"/>
        </w:rPr>
        <w:t xml:space="preserve">is </w:t>
      </w:r>
      <w:r w:rsidR="00280DD2" w:rsidRPr="00AF0077">
        <w:rPr>
          <w:sz w:val="24"/>
          <w:szCs w:val="24"/>
        </w:rPr>
        <w:t>based on projections that factor in local housing market dynamics, demographic, and socio-economic factors</w:t>
      </w:r>
      <w:r w:rsidR="009D70E5" w:rsidRPr="00AF0077">
        <w:rPr>
          <w:sz w:val="24"/>
          <w:szCs w:val="24"/>
        </w:rPr>
        <w:t xml:space="preserve"> over a</w:t>
      </w:r>
      <w:r w:rsidR="00B01D8B">
        <w:rPr>
          <w:sz w:val="24"/>
          <w:szCs w:val="24"/>
        </w:rPr>
        <w:t xml:space="preserve"> gi</w:t>
      </w:r>
      <w:r w:rsidR="009D70E5" w:rsidRPr="00AF0077">
        <w:rPr>
          <w:sz w:val="24"/>
          <w:szCs w:val="24"/>
        </w:rPr>
        <w:t xml:space="preserve">ven time duration and calculates </w:t>
      </w:r>
      <w:r w:rsidR="00280DD2" w:rsidRPr="00AF0077">
        <w:rPr>
          <w:sz w:val="24"/>
          <w:szCs w:val="24"/>
        </w:rPr>
        <w:t xml:space="preserve">what demands </w:t>
      </w:r>
      <w:r w:rsidR="009D70E5" w:rsidRPr="00AF0077">
        <w:rPr>
          <w:sz w:val="24"/>
          <w:szCs w:val="24"/>
        </w:rPr>
        <w:t xml:space="preserve">such trends </w:t>
      </w:r>
      <w:r w:rsidR="00280DD2" w:rsidRPr="00AF0077">
        <w:rPr>
          <w:sz w:val="24"/>
          <w:szCs w:val="24"/>
        </w:rPr>
        <w:t xml:space="preserve">place on the housing system </w:t>
      </w:r>
      <w:r w:rsidR="009D70E5" w:rsidRPr="00AF0077">
        <w:rPr>
          <w:sz w:val="24"/>
          <w:szCs w:val="24"/>
        </w:rPr>
        <w:t>for this period</w:t>
      </w:r>
      <w:r w:rsidR="00280DD2" w:rsidRPr="00AF0077">
        <w:rPr>
          <w:sz w:val="24"/>
          <w:szCs w:val="24"/>
        </w:rPr>
        <w:t xml:space="preserve">. HNDAs deal with what housing targets should look like when </w:t>
      </w:r>
      <w:r w:rsidR="00280DD2" w:rsidRPr="00AF0077">
        <w:rPr>
          <w:i/>
          <w:iCs/>
          <w:sz w:val="24"/>
          <w:szCs w:val="24"/>
        </w:rPr>
        <w:t xml:space="preserve">all things are held equal </w:t>
      </w:r>
      <w:r w:rsidR="00280DD2" w:rsidRPr="00AF0077">
        <w:rPr>
          <w:sz w:val="24"/>
          <w:szCs w:val="24"/>
        </w:rPr>
        <w:t>without policy interventions</w:t>
      </w:r>
      <w:r w:rsidR="00D3085C">
        <w:rPr>
          <w:sz w:val="24"/>
          <w:szCs w:val="24"/>
        </w:rPr>
        <w:t xml:space="preserve"> (policy off)</w:t>
      </w:r>
      <w:r w:rsidR="009D70E5" w:rsidRPr="00AF0077">
        <w:rPr>
          <w:sz w:val="24"/>
          <w:szCs w:val="24"/>
        </w:rPr>
        <w:t xml:space="preserve">. Housing Supply Targets, on the other hand are projections of what demands will be placed on the housing system for this period when </w:t>
      </w:r>
      <w:r w:rsidR="009D70E5" w:rsidRPr="00AF0077">
        <w:rPr>
          <w:i/>
          <w:iCs/>
          <w:sz w:val="24"/>
          <w:szCs w:val="24"/>
        </w:rPr>
        <w:t>policy factors are given due consideration</w:t>
      </w:r>
      <w:r w:rsidR="009D70E5" w:rsidRPr="00AF0077">
        <w:rPr>
          <w:sz w:val="24"/>
          <w:szCs w:val="24"/>
        </w:rPr>
        <w:t xml:space="preserve">. However, to ensure that such figures </w:t>
      </w:r>
      <w:r w:rsidR="00BE020D">
        <w:rPr>
          <w:sz w:val="24"/>
          <w:szCs w:val="24"/>
        </w:rPr>
        <w:t xml:space="preserve">reflect a </w:t>
      </w:r>
      <w:r w:rsidR="00942312">
        <w:rPr>
          <w:sz w:val="24"/>
          <w:szCs w:val="24"/>
        </w:rPr>
        <w:t>target</w:t>
      </w:r>
      <w:r w:rsidR="00BE020D">
        <w:rPr>
          <w:sz w:val="24"/>
          <w:szCs w:val="24"/>
        </w:rPr>
        <w:t xml:space="preserve"> that is deliverable </w:t>
      </w:r>
      <w:r w:rsidR="009D70E5" w:rsidRPr="00AF0077">
        <w:rPr>
          <w:sz w:val="24"/>
          <w:szCs w:val="24"/>
        </w:rPr>
        <w:t xml:space="preserve">requires considering these policy ambitions in tandem with practical considerations that </w:t>
      </w:r>
      <w:r w:rsidR="005961AA">
        <w:rPr>
          <w:sz w:val="24"/>
          <w:szCs w:val="24"/>
        </w:rPr>
        <w:t>could</w:t>
      </w:r>
      <w:r w:rsidR="009D70E5" w:rsidRPr="00AF0077">
        <w:rPr>
          <w:sz w:val="24"/>
          <w:szCs w:val="24"/>
        </w:rPr>
        <w:t xml:space="preserve"> impinge on the delivery of such targets. </w:t>
      </w:r>
    </w:p>
    <w:p w14:paraId="0EB5D961" w14:textId="5CA490F6" w:rsidR="00EA16EA" w:rsidRDefault="004235E8" w:rsidP="005E5542">
      <w:pPr>
        <w:jc w:val="both"/>
      </w:pPr>
      <w:r>
        <w:rPr>
          <w:noProof/>
        </w:rPr>
        <w:drawing>
          <wp:inline distT="0" distB="0" distL="0" distR="0" wp14:anchorId="7D33FAD8" wp14:editId="18F887DA">
            <wp:extent cx="5731510" cy="2341880"/>
            <wp:effectExtent l="0" t="0" r="0" b="0"/>
            <wp:docPr id="1" name="Diagram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98865C8" w14:textId="36BD2814" w:rsidR="004235E8" w:rsidRPr="005A6607" w:rsidRDefault="004235E8" w:rsidP="005E5542">
      <w:pPr>
        <w:pStyle w:val="Caption"/>
        <w:keepNext/>
        <w:jc w:val="both"/>
        <w:rPr>
          <w:b/>
          <w:bCs/>
          <w:color w:val="auto"/>
        </w:rPr>
      </w:pPr>
      <w:r w:rsidRPr="005A6607">
        <w:rPr>
          <w:b/>
          <w:bCs/>
          <w:color w:val="auto"/>
        </w:rPr>
        <w:t xml:space="preserve">Figure </w:t>
      </w:r>
      <w:r w:rsidR="008A5FFB" w:rsidRPr="005A6607">
        <w:rPr>
          <w:b/>
          <w:bCs/>
          <w:color w:val="auto"/>
        </w:rPr>
        <w:fldChar w:fldCharType="begin"/>
      </w:r>
      <w:r w:rsidR="008A5FFB" w:rsidRPr="005A6607">
        <w:rPr>
          <w:b/>
          <w:bCs/>
          <w:color w:val="auto"/>
        </w:rPr>
        <w:instrText xml:space="preserve"> SEQ Figure \* ARABIC </w:instrText>
      </w:r>
      <w:r w:rsidR="008A5FFB" w:rsidRPr="005A6607">
        <w:rPr>
          <w:b/>
          <w:bCs/>
          <w:color w:val="auto"/>
        </w:rPr>
        <w:fldChar w:fldCharType="separate"/>
      </w:r>
      <w:r w:rsidRPr="005A6607">
        <w:rPr>
          <w:b/>
          <w:bCs/>
          <w:noProof/>
          <w:color w:val="auto"/>
        </w:rPr>
        <w:t>1</w:t>
      </w:r>
      <w:r w:rsidR="008A5FFB" w:rsidRPr="005A6607">
        <w:rPr>
          <w:b/>
          <w:bCs/>
          <w:noProof/>
          <w:color w:val="auto"/>
        </w:rPr>
        <w:fldChar w:fldCharType="end"/>
      </w:r>
      <w:r w:rsidRPr="005A6607">
        <w:rPr>
          <w:b/>
          <w:bCs/>
          <w:color w:val="auto"/>
        </w:rPr>
        <w:t>: The elements that make up Housing Supply Targets</w:t>
      </w:r>
    </w:p>
    <w:p w14:paraId="4518AD15" w14:textId="5EB4E43B" w:rsidR="004235E8" w:rsidRPr="004235E8" w:rsidRDefault="008F4778" w:rsidP="005E5542">
      <w:pPr>
        <w:pStyle w:val="Heading1"/>
        <w:jc w:val="both"/>
      </w:pPr>
      <w:bookmarkStart w:id="3" w:name="_Toc137714783"/>
      <w:r>
        <w:t>Methodology</w:t>
      </w:r>
      <w:bookmarkEnd w:id="3"/>
    </w:p>
    <w:p w14:paraId="2BA62A7E" w14:textId="5CB40EB0" w:rsidR="008F4778" w:rsidRDefault="00B43276" w:rsidP="005E5542">
      <w:pPr>
        <w:jc w:val="both"/>
        <w:rPr>
          <w:sz w:val="24"/>
          <w:szCs w:val="24"/>
        </w:rPr>
      </w:pPr>
      <w:r w:rsidRPr="00AF0077">
        <w:rPr>
          <w:sz w:val="24"/>
          <w:szCs w:val="24"/>
        </w:rPr>
        <w:t xml:space="preserve">The methodology for developing </w:t>
      </w:r>
      <w:r w:rsidR="00D3085C">
        <w:rPr>
          <w:sz w:val="24"/>
          <w:szCs w:val="24"/>
        </w:rPr>
        <w:t>HST</w:t>
      </w:r>
      <w:r w:rsidRPr="00AF0077">
        <w:rPr>
          <w:sz w:val="24"/>
          <w:szCs w:val="24"/>
        </w:rPr>
        <w:t xml:space="preserve">s </w:t>
      </w:r>
      <w:r w:rsidR="009F07D8" w:rsidRPr="00AF0077">
        <w:rPr>
          <w:sz w:val="24"/>
          <w:szCs w:val="24"/>
        </w:rPr>
        <w:t>is</w:t>
      </w:r>
      <w:r w:rsidRPr="00AF0077">
        <w:rPr>
          <w:sz w:val="24"/>
          <w:szCs w:val="24"/>
        </w:rPr>
        <w:t xml:space="preserve"> set out in the HNDA Managers Guide</w:t>
      </w:r>
      <w:r w:rsidR="008F4778" w:rsidRPr="00AF0077">
        <w:rPr>
          <w:sz w:val="24"/>
          <w:szCs w:val="24"/>
        </w:rPr>
        <w:t xml:space="preserve"> (Scottish Government 2020)</w:t>
      </w:r>
      <w:r w:rsidRPr="00AF0077">
        <w:rPr>
          <w:sz w:val="24"/>
          <w:szCs w:val="24"/>
        </w:rPr>
        <w:t xml:space="preserve">. </w:t>
      </w:r>
      <w:r w:rsidR="00F82BB2" w:rsidRPr="00AF0077">
        <w:rPr>
          <w:sz w:val="24"/>
          <w:szCs w:val="24"/>
        </w:rPr>
        <w:t xml:space="preserve">The </w:t>
      </w:r>
      <w:r w:rsidRPr="00AF0077">
        <w:rPr>
          <w:sz w:val="24"/>
          <w:szCs w:val="24"/>
        </w:rPr>
        <w:t xml:space="preserve">Mangers Guide </w:t>
      </w:r>
      <w:r w:rsidR="009F07D8" w:rsidRPr="00AF0077">
        <w:rPr>
          <w:sz w:val="24"/>
          <w:szCs w:val="24"/>
        </w:rPr>
        <w:t>states</w:t>
      </w:r>
      <w:r w:rsidRPr="00AF0077">
        <w:rPr>
          <w:sz w:val="24"/>
          <w:szCs w:val="24"/>
        </w:rPr>
        <w:t xml:space="preserve"> that </w:t>
      </w:r>
      <w:r w:rsidR="00F82BB2" w:rsidRPr="00AF0077">
        <w:rPr>
          <w:sz w:val="24"/>
          <w:szCs w:val="24"/>
        </w:rPr>
        <w:t xml:space="preserve">developing HSTs </w:t>
      </w:r>
      <w:r w:rsidR="009F07D8" w:rsidRPr="00AF0077">
        <w:rPr>
          <w:sz w:val="24"/>
          <w:szCs w:val="24"/>
        </w:rPr>
        <w:t xml:space="preserve">begins </w:t>
      </w:r>
      <w:r w:rsidR="00F82BB2" w:rsidRPr="00AF0077">
        <w:rPr>
          <w:sz w:val="24"/>
          <w:szCs w:val="24"/>
        </w:rPr>
        <w:t>with the HNDA as baseline</w:t>
      </w:r>
      <w:r w:rsidRPr="00AF0077">
        <w:rPr>
          <w:sz w:val="24"/>
          <w:szCs w:val="24"/>
        </w:rPr>
        <w:t xml:space="preserve"> ‘policy free’ estimates which are then </w:t>
      </w:r>
      <w:r w:rsidR="00F82BB2" w:rsidRPr="00AF0077">
        <w:rPr>
          <w:sz w:val="24"/>
          <w:szCs w:val="24"/>
        </w:rPr>
        <w:t>impact test</w:t>
      </w:r>
      <w:r w:rsidRPr="00AF0077">
        <w:rPr>
          <w:sz w:val="24"/>
          <w:szCs w:val="24"/>
        </w:rPr>
        <w:t xml:space="preserve">ed </w:t>
      </w:r>
      <w:r w:rsidR="00F82BB2" w:rsidRPr="00AF0077">
        <w:rPr>
          <w:sz w:val="24"/>
          <w:szCs w:val="24"/>
        </w:rPr>
        <w:t xml:space="preserve">in </w:t>
      </w:r>
      <w:r w:rsidRPr="00AF0077">
        <w:rPr>
          <w:sz w:val="24"/>
          <w:szCs w:val="24"/>
        </w:rPr>
        <w:t xml:space="preserve">relation </w:t>
      </w:r>
      <w:r w:rsidR="00F82BB2" w:rsidRPr="00AF0077">
        <w:rPr>
          <w:sz w:val="24"/>
          <w:szCs w:val="24"/>
        </w:rPr>
        <w:t xml:space="preserve">to </w:t>
      </w:r>
      <w:r w:rsidRPr="00AF0077">
        <w:rPr>
          <w:sz w:val="24"/>
          <w:szCs w:val="24"/>
        </w:rPr>
        <w:t xml:space="preserve">practical and policy </w:t>
      </w:r>
      <w:r w:rsidR="008F4778" w:rsidRPr="00AF0077">
        <w:rPr>
          <w:sz w:val="24"/>
          <w:szCs w:val="24"/>
        </w:rPr>
        <w:t xml:space="preserve">factors. </w:t>
      </w:r>
    </w:p>
    <w:p w14:paraId="2C207352" w14:textId="77777777" w:rsidR="00AF0077" w:rsidRPr="00AF0077" w:rsidRDefault="00AF0077" w:rsidP="005E5542">
      <w:pPr>
        <w:jc w:val="both"/>
        <w:rPr>
          <w:sz w:val="24"/>
          <w:szCs w:val="24"/>
        </w:rPr>
      </w:pPr>
    </w:p>
    <w:p w14:paraId="4AD6E30C" w14:textId="05D99211" w:rsidR="00F82BB2" w:rsidRPr="00AF0077" w:rsidRDefault="009D70E5" w:rsidP="005E5542">
      <w:pPr>
        <w:jc w:val="both"/>
        <w:rPr>
          <w:sz w:val="24"/>
          <w:szCs w:val="24"/>
        </w:rPr>
      </w:pPr>
      <w:r w:rsidRPr="00AF0077">
        <w:rPr>
          <w:sz w:val="24"/>
          <w:szCs w:val="24"/>
        </w:rPr>
        <w:t xml:space="preserve">Policy aspirations may converge or diverge with what the HNDA sets out. As </w:t>
      </w:r>
      <w:r w:rsidR="004235E8" w:rsidRPr="00AF0077">
        <w:rPr>
          <w:sz w:val="24"/>
          <w:szCs w:val="24"/>
        </w:rPr>
        <w:t>is</w:t>
      </w:r>
      <w:r w:rsidRPr="00AF0077">
        <w:rPr>
          <w:sz w:val="24"/>
          <w:szCs w:val="24"/>
        </w:rPr>
        <w:t xml:space="preserve"> discussed below, for</w:t>
      </w:r>
      <w:r w:rsidR="004235E8" w:rsidRPr="00AF0077">
        <w:rPr>
          <w:sz w:val="24"/>
          <w:szCs w:val="24"/>
        </w:rPr>
        <w:t xml:space="preserve"> Inverclyde the key divergence stems from the policy ambition for population growth versus </w:t>
      </w:r>
      <w:r w:rsidR="00942312">
        <w:rPr>
          <w:sz w:val="24"/>
          <w:szCs w:val="24"/>
        </w:rPr>
        <w:t>the Glasgow and Clyde Valley Housing Need and Demand Assessment (</w:t>
      </w:r>
      <w:r w:rsidR="004235E8" w:rsidRPr="00AF0077">
        <w:rPr>
          <w:sz w:val="24"/>
          <w:szCs w:val="24"/>
        </w:rPr>
        <w:t>HNDA3</w:t>
      </w:r>
      <w:r w:rsidR="00942312">
        <w:rPr>
          <w:sz w:val="24"/>
          <w:szCs w:val="24"/>
        </w:rPr>
        <w:t>)</w:t>
      </w:r>
      <w:r w:rsidR="004235E8" w:rsidRPr="00AF0077">
        <w:rPr>
          <w:sz w:val="24"/>
          <w:szCs w:val="24"/>
        </w:rPr>
        <w:t xml:space="preserve"> setting out housing need based on projections of a declining population. The divergence means that HSTs need to take account of practical factors that include:</w:t>
      </w:r>
    </w:p>
    <w:p w14:paraId="30D10EBD" w14:textId="7BE45A7C" w:rsidR="00F82BB2" w:rsidRPr="00AF0077" w:rsidRDefault="00F82BB2" w:rsidP="005E5542">
      <w:pPr>
        <w:pStyle w:val="ListParagraph"/>
        <w:numPr>
          <w:ilvl w:val="0"/>
          <w:numId w:val="2"/>
        </w:numPr>
        <w:jc w:val="both"/>
        <w:rPr>
          <w:sz w:val="24"/>
          <w:szCs w:val="24"/>
        </w:rPr>
      </w:pPr>
      <w:r w:rsidRPr="00AF0077">
        <w:rPr>
          <w:sz w:val="24"/>
          <w:szCs w:val="24"/>
        </w:rPr>
        <w:t>economic factors which impact on demand and supply</w:t>
      </w:r>
      <w:r w:rsidR="00637F3E">
        <w:rPr>
          <w:sz w:val="24"/>
          <w:szCs w:val="24"/>
        </w:rPr>
        <w:t>,</w:t>
      </w:r>
    </w:p>
    <w:p w14:paraId="5F2F3828" w14:textId="63F38B5F" w:rsidR="00F82BB2" w:rsidRPr="00AF0077" w:rsidRDefault="00F82BB2" w:rsidP="005E5542">
      <w:pPr>
        <w:pStyle w:val="ListParagraph"/>
        <w:numPr>
          <w:ilvl w:val="0"/>
          <w:numId w:val="2"/>
        </w:numPr>
        <w:jc w:val="both"/>
        <w:rPr>
          <w:sz w:val="24"/>
          <w:szCs w:val="24"/>
        </w:rPr>
      </w:pPr>
      <w:r w:rsidRPr="00AF0077">
        <w:rPr>
          <w:sz w:val="24"/>
          <w:szCs w:val="24"/>
        </w:rPr>
        <w:lastRenderedPageBreak/>
        <w:t>capacity within the construction sector</w:t>
      </w:r>
      <w:r w:rsidR="00637F3E">
        <w:rPr>
          <w:sz w:val="24"/>
          <w:szCs w:val="24"/>
        </w:rPr>
        <w:t>,</w:t>
      </w:r>
    </w:p>
    <w:p w14:paraId="318A4C05" w14:textId="1136A59D" w:rsidR="00F82BB2" w:rsidRPr="00AF0077" w:rsidRDefault="00F82BB2" w:rsidP="005E5542">
      <w:pPr>
        <w:pStyle w:val="ListParagraph"/>
        <w:numPr>
          <w:ilvl w:val="0"/>
          <w:numId w:val="2"/>
        </w:numPr>
        <w:jc w:val="both"/>
        <w:rPr>
          <w:sz w:val="24"/>
          <w:szCs w:val="24"/>
        </w:rPr>
      </w:pPr>
      <w:r w:rsidRPr="00AF0077">
        <w:rPr>
          <w:sz w:val="24"/>
          <w:szCs w:val="24"/>
        </w:rPr>
        <w:t>inter-dependency between delivery of market and affordable housing</w:t>
      </w:r>
      <w:r w:rsidR="00637F3E">
        <w:rPr>
          <w:sz w:val="24"/>
          <w:szCs w:val="24"/>
        </w:rPr>
        <w:t>,</w:t>
      </w:r>
      <w:r w:rsidRPr="00AF0077">
        <w:rPr>
          <w:sz w:val="24"/>
          <w:szCs w:val="24"/>
        </w:rPr>
        <w:t xml:space="preserve"> </w:t>
      </w:r>
    </w:p>
    <w:p w14:paraId="21932E77" w14:textId="787C334D" w:rsidR="00F82BB2" w:rsidRPr="00AF0077" w:rsidRDefault="00F82BB2" w:rsidP="005E5542">
      <w:pPr>
        <w:pStyle w:val="ListParagraph"/>
        <w:numPr>
          <w:ilvl w:val="0"/>
          <w:numId w:val="2"/>
        </w:numPr>
        <w:jc w:val="both"/>
        <w:rPr>
          <w:sz w:val="24"/>
          <w:szCs w:val="24"/>
        </w:rPr>
      </w:pPr>
      <w:r w:rsidRPr="00AF0077">
        <w:rPr>
          <w:sz w:val="24"/>
          <w:szCs w:val="24"/>
        </w:rPr>
        <w:t>availability of resources</w:t>
      </w:r>
      <w:r w:rsidR="00637F3E">
        <w:rPr>
          <w:sz w:val="24"/>
          <w:szCs w:val="24"/>
        </w:rPr>
        <w:t>,</w:t>
      </w:r>
    </w:p>
    <w:p w14:paraId="266A4C1F" w14:textId="4FC904D0" w:rsidR="00F82BB2" w:rsidRPr="00AF0077" w:rsidRDefault="00F82BB2" w:rsidP="005E5542">
      <w:pPr>
        <w:pStyle w:val="ListParagraph"/>
        <w:numPr>
          <w:ilvl w:val="0"/>
          <w:numId w:val="2"/>
        </w:numPr>
        <w:jc w:val="both"/>
        <w:rPr>
          <w:sz w:val="24"/>
          <w:szCs w:val="24"/>
        </w:rPr>
      </w:pPr>
      <w:r w:rsidRPr="00AF0077">
        <w:rPr>
          <w:sz w:val="24"/>
          <w:szCs w:val="24"/>
        </w:rPr>
        <w:t>likely pace and scale of delivery based on completion rates</w:t>
      </w:r>
      <w:r w:rsidR="00637F3E">
        <w:rPr>
          <w:sz w:val="24"/>
          <w:szCs w:val="24"/>
        </w:rPr>
        <w:t>,</w:t>
      </w:r>
    </w:p>
    <w:p w14:paraId="56F70046" w14:textId="6DCA7281" w:rsidR="00F82BB2" w:rsidRPr="00AF0077" w:rsidRDefault="00F82BB2" w:rsidP="005E5542">
      <w:pPr>
        <w:pStyle w:val="ListParagraph"/>
        <w:numPr>
          <w:ilvl w:val="0"/>
          <w:numId w:val="2"/>
        </w:numPr>
        <w:jc w:val="both"/>
        <w:rPr>
          <w:sz w:val="24"/>
          <w:szCs w:val="24"/>
        </w:rPr>
      </w:pPr>
      <w:r w:rsidRPr="00AF0077">
        <w:rPr>
          <w:sz w:val="24"/>
          <w:szCs w:val="24"/>
        </w:rPr>
        <w:t>recent development levels</w:t>
      </w:r>
      <w:r w:rsidR="00637F3E">
        <w:rPr>
          <w:sz w:val="24"/>
          <w:szCs w:val="24"/>
        </w:rPr>
        <w:t>,</w:t>
      </w:r>
    </w:p>
    <w:p w14:paraId="5CD2746A" w14:textId="7644069F" w:rsidR="00F82BB2" w:rsidRPr="00637F3E" w:rsidRDefault="00F82BB2" w:rsidP="00637F3E">
      <w:pPr>
        <w:pStyle w:val="ListParagraph"/>
        <w:numPr>
          <w:ilvl w:val="0"/>
          <w:numId w:val="2"/>
        </w:numPr>
        <w:jc w:val="both"/>
        <w:rPr>
          <w:sz w:val="24"/>
          <w:szCs w:val="24"/>
        </w:rPr>
      </w:pPr>
      <w:r w:rsidRPr="00AF0077">
        <w:rPr>
          <w:sz w:val="24"/>
          <w:szCs w:val="24"/>
        </w:rPr>
        <w:t>planned demolitions</w:t>
      </w:r>
      <w:r w:rsidR="00637F3E" w:rsidRPr="00637F3E">
        <w:rPr>
          <w:sz w:val="24"/>
          <w:szCs w:val="24"/>
        </w:rPr>
        <w:t>,</w:t>
      </w:r>
    </w:p>
    <w:p w14:paraId="10C8F16F" w14:textId="2ABEE87D" w:rsidR="00F82BB2" w:rsidRPr="00AF0077" w:rsidRDefault="00F82BB2" w:rsidP="005E5542">
      <w:pPr>
        <w:pStyle w:val="ListParagraph"/>
        <w:numPr>
          <w:ilvl w:val="0"/>
          <w:numId w:val="2"/>
        </w:numPr>
        <w:jc w:val="both"/>
        <w:rPr>
          <w:sz w:val="24"/>
          <w:szCs w:val="24"/>
        </w:rPr>
      </w:pPr>
      <w:r w:rsidRPr="00AF0077">
        <w:rPr>
          <w:sz w:val="24"/>
          <w:szCs w:val="24"/>
        </w:rPr>
        <w:t>planned replacement housing or housing being brought back into effective use</w:t>
      </w:r>
      <w:r w:rsidR="00637F3E">
        <w:rPr>
          <w:sz w:val="24"/>
          <w:szCs w:val="24"/>
        </w:rPr>
        <w:t>.</w:t>
      </w:r>
    </w:p>
    <w:p w14:paraId="5C2273B3" w14:textId="1E8B5645" w:rsidR="00F82BB2" w:rsidRDefault="00F82BB2" w:rsidP="005E5542">
      <w:pPr>
        <w:pStyle w:val="Heading1"/>
        <w:jc w:val="both"/>
      </w:pPr>
      <w:bookmarkStart w:id="4" w:name="_Toc137714784"/>
      <w:r>
        <w:t>HNDA</w:t>
      </w:r>
      <w:bookmarkEnd w:id="4"/>
    </w:p>
    <w:p w14:paraId="2FCF42C2" w14:textId="48F792D1" w:rsidR="0062787E" w:rsidRPr="00AF0077" w:rsidRDefault="0062787E" w:rsidP="005E5542">
      <w:pPr>
        <w:pStyle w:val="Headings"/>
        <w:spacing w:after="240"/>
        <w:jc w:val="both"/>
        <w:rPr>
          <w:b/>
          <w:bCs/>
          <w:sz w:val="24"/>
          <w:szCs w:val="24"/>
        </w:rPr>
      </w:pPr>
      <w:r w:rsidRPr="00AF0077">
        <w:rPr>
          <w:bCs/>
          <w:sz w:val="24"/>
          <w:szCs w:val="24"/>
        </w:rPr>
        <w:t xml:space="preserve">As part of the Glasgow City Region Housing Market Partnership, Inverclyde Council have recently completed a Housing Need &amp; Demand Assessment (HNDA3) which provides a statistical estimate of how much additional housing </w:t>
      </w:r>
      <w:r w:rsidR="00D14B1E">
        <w:rPr>
          <w:bCs/>
          <w:sz w:val="24"/>
          <w:szCs w:val="24"/>
        </w:rPr>
        <w:t xml:space="preserve">units, by tenure and type, </w:t>
      </w:r>
      <w:r w:rsidRPr="00AF0077">
        <w:rPr>
          <w:bCs/>
          <w:sz w:val="24"/>
          <w:szCs w:val="24"/>
        </w:rPr>
        <w:t>will be required to meet all future housing need and demand in the area. The housing estimates produced by HNDA</w:t>
      </w:r>
      <w:r w:rsidR="00942312">
        <w:rPr>
          <w:bCs/>
          <w:sz w:val="24"/>
          <w:szCs w:val="24"/>
        </w:rPr>
        <w:t>3</w:t>
      </w:r>
      <w:r w:rsidRPr="00AF0077">
        <w:rPr>
          <w:bCs/>
          <w:sz w:val="24"/>
          <w:szCs w:val="24"/>
        </w:rPr>
        <w:t xml:space="preserve"> provide the starting point for setting </w:t>
      </w:r>
      <w:r w:rsidR="00942312">
        <w:rPr>
          <w:bCs/>
          <w:sz w:val="24"/>
          <w:szCs w:val="24"/>
        </w:rPr>
        <w:t>the</w:t>
      </w:r>
      <w:r w:rsidRPr="00AF0077">
        <w:rPr>
          <w:bCs/>
          <w:sz w:val="24"/>
          <w:szCs w:val="24"/>
        </w:rPr>
        <w:t xml:space="preserve"> HST within the </w:t>
      </w:r>
      <w:r w:rsidR="00942312">
        <w:rPr>
          <w:bCs/>
          <w:sz w:val="24"/>
          <w:szCs w:val="24"/>
        </w:rPr>
        <w:t>LHS</w:t>
      </w:r>
      <w:r w:rsidRPr="00AF0077">
        <w:rPr>
          <w:bCs/>
          <w:sz w:val="24"/>
          <w:szCs w:val="24"/>
        </w:rPr>
        <w:t xml:space="preserve">. </w:t>
      </w:r>
    </w:p>
    <w:p w14:paraId="3D40D8C1" w14:textId="05B289AD" w:rsidR="0062787E" w:rsidRPr="00AF0077" w:rsidRDefault="0062787E" w:rsidP="005E5542">
      <w:pPr>
        <w:spacing w:after="240"/>
        <w:jc w:val="both"/>
        <w:rPr>
          <w:bCs/>
          <w:sz w:val="24"/>
          <w:szCs w:val="24"/>
        </w:rPr>
      </w:pPr>
      <w:r w:rsidRPr="00AF0077">
        <w:rPr>
          <w:bCs/>
          <w:sz w:val="24"/>
          <w:szCs w:val="24"/>
        </w:rPr>
        <w:t>The HST sets out the estimated level of additional housing that can be delivered on the ground and informs the definition of the Housing Land Requirement within the Local Development Plan (LDP).</w:t>
      </w:r>
    </w:p>
    <w:p w14:paraId="62F0DF29" w14:textId="60FD9906" w:rsidR="00046B54" w:rsidRPr="00AC37D4" w:rsidRDefault="00046B54" w:rsidP="00046B54">
      <w:pPr>
        <w:pStyle w:val="Caption"/>
        <w:keepNext/>
        <w:rPr>
          <w:sz w:val="22"/>
          <w:szCs w:val="22"/>
        </w:rPr>
      </w:pPr>
      <w:r w:rsidRPr="00AC37D4">
        <w:rPr>
          <w:sz w:val="22"/>
          <w:szCs w:val="22"/>
        </w:rPr>
        <w:t xml:space="preserve">Table </w:t>
      </w:r>
      <w:r w:rsidR="008A5FFB" w:rsidRPr="00AC37D4">
        <w:rPr>
          <w:sz w:val="22"/>
          <w:szCs w:val="22"/>
        </w:rPr>
        <w:fldChar w:fldCharType="begin"/>
      </w:r>
      <w:r w:rsidR="008A5FFB" w:rsidRPr="00AC37D4">
        <w:rPr>
          <w:sz w:val="22"/>
          <w:szCs w:val="22"/>
        </w:rPr>
        <w:instrText xml:space="preserve"> SEQ Table \* ARABIC </w:instrText>
      </w:r>
      <w:r w:rsidR="008A5FFB" w:rsidRPr="00AC37D4">
        <w:rPr>
          <w:sz w:val="22"/>
          <w:szCs w:val="22"/>
        </w:rPr>
        <w:fldChar w:fldCharType="separate"/>
      </w:r>
      <w:r w:rsidR="006A0C0E" w:rsidRPr="00AC37D4">
        <w:rPr>
          <w:noProof/>
          <w:sz w:val="22"/>
          <w:szCs w:val="22"/>
        </w:rPr>
        <w:t>1</w:t>
      </w:r>
      <w:r w:rsidR="008A5FFB" w:rsidRPr="00AC37D4">
        <w:rPr>
          <w:noProof/>
          <w:sz w:val="22"/>
          <w:szCs w:val="22"/>
        </w:rPr>
        <w:fldChar w:fldCharType="end"/>
      </w:r>
      <w:r w:rsidRPr="00AC37D4">
        <w:rPr>
          <w:sz w:val="22"/>
          <w:szCs w:val="22"/>
        </w:rPr>
        <w:t>: HNDA 3 projections</w:t>
      </w:r>
      <w:r w:rsidR="00637F3E">
        <w:rPr>
          <w:sz w:val="22"/>
          <w:szCs w:val="22"/>
        </w:rPr>
        <w:t xml:space="preserve"> for Inverclyde, </w:t>
      </w:r>
      <w:r w:rsidR="00637F3E" w:rsidRPr="00637F3E">
        <w:rPr>
          <w:sz w:val="22"/>
          <w:szCs w:val="22"/>
        </w:rPr>
        <w:t>Glasgow City Region Housing Market Partnership</w:t>
      </w:r>
      <w:r w:rsidR="00637F3E">
        <w:rPr>
          <w:sz w:val="22"/>
          <w:szCs w:val="22"/>
        </w:rPr>
        <w:t>.</w:t>
      </w:r>
    </w:p>
    <w:tbl>
      <w:tblPr>
        <w:tblStyle w:val="TableGrid"/>
        <w:tblW w:w="9070" w:type="dxa"/>
        <w:tblLook w:val="04A0" w:firstRow="1" w:lastRow="0" w:firstColumn="1" w:lastColumn="0" w:noHBand="0" w:noVBand="1"/>
      </w:tblPr>
      <w:tblGrid>
        <w:gridCol w:w="4535"/>
        <w:gridCol w:w="4535"/>
      </w:tblGrid>
      <w:tr w:rsidR="00B20937" w14:paraId="4B795143" w14:textId="77777777" w:rsidTr="00B20937">
        <w:trPr>
          <w:cnfStyle w:val="100000000000" w:firstRow="1" w:lastRow="0" w:firstColumn="0" w:lastColumn="0" w:oddVBand="0" w:evenVBand="0" w:oddHBand="0" w:evenHBand="0" w:firstRowFirstColumn="0" w:firstRowLastColumn="0" w:lastRowFirstColumn="0" w:lastRowLastColumn="0"/>
          <w:trHeight w:val="404"/>
        </w:trPr>
        <w:tc>
          <w:tcPr>
            <w:tcW w:w="4535" w:type="dxa"/>
            <w:tcBorders>
              <w:right w:val="single" w:sz="4" w:space="0" w:color="FFFFFF" w:themeColor="background1"/>
            </w:tcBorders>
          </w:tcPr>
          <w:p w14:paraId="303AC419" w14:textId="3F20239A" w:rsidR="00B20937" w:rsidRPr="00981456" w:rsidRDefault="00B20937" w:rsidP="005E5542">
            <w:pPr>
              <w:pStyle w:val="Headings"/>
              <w:spacing w:before="60" w:after="60"/>
              <w:jc w:val="both"/>
              <w:rPr>
                <w:b w:val="0"/>
              </w:rPr>
            </w:pPr>
            <w:r w:rsidRPr="00981456">
              <w:rPr>
                <w:color w:val="FFFFFF" w:themeColor="background1"/>
                <w:sz w:val="22"/>
                <w:szCs w:val="22"/>
              </w:rPr>
              <w:t>Principle Scenario Projection</w:t>
            </w:r>
          </w:p>
        </w:tc>
        <w:tc>
          <w:tcPr>
            <w:tcW w:w="4535" w:type="dxa"/>
            <w:tcBorders>
              <w:left w:val="single" w:sz="4" w:space="0" w:color="FFFFFF" w:themeColor="background1"/>
            </w:tcBorders>
          </w:tcPr>
          <w:p w14:paraId="7BC83A81" w14:textId="3F49A402" w:rsidR="00B20937" w:rsidRPr="00981456" w:rsidRDefault="00B20937" w:rsidP="005E5542">
            <w:pPr>
              <w:pStyle w:val="Headings"/>
              <w:spacing w:before="60" w:after="60"/>
              <w:jc w:val="both"/>
              <w:rPr>
                <w:sz w:val="22"/>
                <w:szCs w:val="22"/>
              </w:rPr>
            </w:pPr>
            <w:r w:rsidRPr="00B20937">
              <w:rPr>
                <w:sz w:val="22"/>
                <w:szCs w:val="22"/>
              </w:rPr>
              <w:t>New Households</w:t>
            </w:r>
          </w:p>
        </w:tc>
      </w:tr>
      <w:tr w:rsidR="0062787E" w14:paraId="27555BEE" w14:textId="77777777" w:rsidTr="0062787E">
        <w:trPr>
          <w:trHeight w:val="404"/>
        </w:trPr>
        <w:tc>
          <w:tcPr>
            <w:tcW w:w="4535" w:type="dxa"/>
            <w:shd w:val="clear" w:color="auto" w:fill="CCCCCC" w:themeFill="text1" w:themeFillTint="33"/>
          </w:tcPr>
          <w:p w14:paraId="082F4E7C" w14:textId="77777777" w:rsidR="0062787E" w:rsidRPr="002F57B1" w:rsidRDefault="0062787E" w:rsidP="005E5542">
            <w:pPr>
              <w:pStyle w:val="Headings"/>
              <w:spacing w:before="60" w:after="60"/>
              <w:jc w:val="both"/>
              <w:rPr>
                <w:b/>
                <w:bCs/>
                <w:sz w:val="22"/>
                <w:szCs w:val="22"/>
              </w:rPr>
            </w:pPr>
            <w:r w:rsidRPr="002F57B1">
              <w:rPr>
                <w:bCs/>
                <w:sz w:val="22"/>
                <w:szCs w:val="22"/>
              </w:rPr>
              <w:t>Owner Occupation</w:t>
            </w:r>
          </w:p>
        </w:tc>
        <w:tc>
          <w:tcPr>
            <w:tcW w:w="4535" w:type="dxa"/>
          </w:tcPr>
          <w:p w14:paraId="19E2A80B" w14:textId="77777777" w:rsidR="0062787E" w:rsidRPr="002F57B1" w:rsidRDefault="0062787E" w:rsidP="005E5542">
            <w:pPr>
              <w:pStyle w:val="Headings"/>
              <w:spacing w:before="60" w:after="60"/>
              <w:jc w:val="both"/>
              <w:rPr>
                <w:b/>
                <w:bCs/>
                <w:sz w:val="22"/>
                <w:szCs w:val="22"/>
              </w:rPr>
            </w:pPr>
            <w:r>
              <w:rPr>
                <w:bCs/>
                <w:sz w:val="22"/>
                <w:szCs w:val="22"/>
              </w:rPr>
              <w:t>0</w:t>
            </w:r>
          </w:p>
        </w:tc>
      </w:tr>
      <w:tr w:rsidR="0062787E" w14:paraId="5DAA7BF5" w14:textId="77777777" w:rsidTr="0062787E">
        <w:trPr>
          <w:trHeight w:val="404"/>
        </w:trPr>
        <w:tc>
          <w:tcPr>
            <w:tcW w:w="4535" w:type="dxa"/>
            <w:shd w:val="clear" w:color="auto" w:fill="CCCCCC" w:themeFill="text1" w:themeFillTint="33"/>
          </w:tcPr>
          <w:p w14:paraId="10B47A34" w14:textId="77777777" w:rsidR="0062787E" w:rsidRDefault="0062787E" w:rsidP="005E5542">
            <w:pPr>
              <w:pStyle w:val="Headings"/>
              <w:spacing w:before="60" w:after="60"/>
              <w:jc w:val="both"/>
              <w:rPr>
                <w:b/>
                <w:bCs/>
                <w:sz w:val="22"/>
                <w:szCs w:val="22"/>
              </w:rPr>
            </w:pPr>
            <w:r>
              <w:rPr>
                <w:bCs/>
                <w:sz w:val="22"/>
                <w:szCs w:val="22"/>
              </w:rPr>
              <w:t>Private Rent</w:t>
            </w:r>
          </w:p>
        </w:tc>
        <w:tc>
          <w:tcPr>
            <w:tcW w:w="4535" w:type="dxa"/>
          </w:tcPr>
          <w:p w14:paraId="76C0CDF7" w14:textId="77777777" w:rsidR="0062787E" w:rsidRDefault="0062787E" w:rsidP="005E5542">
            <w:pPr>
              <w:pStyle w:val="Headings"/>
              <w:spacing w:before="60" w:after="60"/>
              <w:jc w:val="both"/>
              <w:rPr>
                <w:b/>
                <w:bCs/>
                <w:sz w:val="22"/>
                <w:szCs w:val="22"/>
              </w:rPr>
            </w:pPr>
            <w:r>
              <w:rPr>
                <w:bCs/>
                <w:sz w:val="22"/>
                <w:szCs w:val="22"/>
              </w:rPr>
              <w:t>0</w:t>
            </w:r>
          </w:p>
        </w:tc>
      </w:tr>
      <w:tr w:rsidR="0062787E" w14:paraId="3AC62590" w14:textId="77777777" w:rsidTr="0062787E">
        <w:trPr>
          <w:trHeight w:val="394"/>
        </w:trPr>
        <w:tc>
          <w:tcPr>
            <w:tcW w:w="4535" w:type="dxa"/>
            <w:shd w:val="clear" w:color="auto" w:fill="CCCCCC" w:themeFill="text1" w:themeFillTint="33"/>
          </w:tcPr>
          <w:p w14:paraId="70625053" w14:textId="77777777" w:rsidR="0062787E" w:rsidRDefault="0062787E" w:rsidP="005E5542">
            <w:pPr>
              <w:pStyle w:val="Headings"/>
              <w:spacing w:before="60" w:after="60"/>
              <w:jc w:val="both"/>
              <w:rPr>
                <w:b/>
                <w:bCs/>
                <w:sz w:val="22"/>
                <w:szCs w:val="22"/>
              </w:rPr>
            </w:pPr>
            <w:r>
              <w:rPr>
                <w:bCs/>
                <w:sz w:val="22"/>
                <w:szCs w:val="22"/>
              </w:rPr>
              <w:t>Below Market Rent</w:t>
            </w:r>
          </w:p>
        </w:tc>
        <w:tc>
          <w:tcPr>
            <w:tcW w:w="4535" w:type="dxa"/>
          </w:tcPr>
          <w:p w14:paraId="06B076B1" w14:textId="77777777" w:rsidR="0062787E" w:rsidRDefault="0062787E" w:rsidP="005E5542">
            <w:pPr>
              <w:pStyle w:val="Headings"/>
              <w:spacing w:before="60" w:after="60"/>
              <w:jc w:val="both"/>
              <w:rPr>
                <w:b/>
                <w:bCs/>
                <w:sz w:val="22"/>
                <w:szCs w:val="22"/>
              </w:rPr>
            </w:pPr>
            <w:r>
              <w:rPr>
                <w:bCs/>
                <w:sz w:val="22"/>
                <w:szCs w:val="22"/>
              </w:rPr>
              <w:t>0</w:t>
            </w:r>
          </w:p>
        </w:tc>
      </w:tr>
      <w:tr w:rsidR="0062787E" w14:paraId="0A7DCFCD" w14:textId="77777777" w:rsidTr="0062787E">
        <w:trPr>
          <w:trHeight w:val="404"/>
        </w:trPr>
        <w:tc>
          <w:tcPr>
            <w:tcW w:w="4535" w:type="dxa"/>
            <w:shd w:val="clear" w:color="auto" w:fill="CCCCCC" w:themeFill="text1" w:themeFillTint="33"/>
          </w:tcPr>
          <w:p w14:paraId="5E9BE72B" w14:textId="77777777" w:rsidR="0062787E" w:rsidRDefault="0062787E" w:rsidP="005E5542">
            <w:pPr>
              <w:pStyle w:val="Headings"/>
              <w:spacing w:before="60" w:after="60"/>
              <w:jc w:val="both"/>
              <w:rPr>
                <w:b/>
                <w:bCs/>
                <w:sz w:val="22"/>
                <w:szCs w:val="22"/>
              </w:rPr>
            </w:pPr>
            <w:r>
              <w:rPr>
                <w:bCs/>
                <w:sz w:val="22"/>
                <w:szCs w:val="22"/>
              </w:rPr>
              <w:t>Social Rent</w:t>
            </w:r>
          </w:p>
        </w:tc>
        <w:tc>
          <w:tcPr>
            <w:tcW w:w="4535" w:type="dxa"/>
          </w:tcPr>
          <w:p w14:paraId="1E003F01" w14:textId="77777777" w:rsidR="0062787E" w:rsidRDefault="0062787E" w:rsidP="005E5542">
            <w:pPr>
              <w:pStyle w:val="Headings"/>
              <w:spacing w:before="60" w:after="60"/>
              <w:jc w:val="both"/>
              <w:rPr>
                <w:b/>
                <w:bCs/>
                <w:sz w:val="22"/>
                <w:szCs w:val="22"/>
              </w:rPr>
            </w:pPr>
            <w:r>
              <w:rPr>
                <w:bCs/>
                <w:sz w:val="22"/>
                <w:szCs w:val="22"/>
              </w:rPr>
              <w:t>180</w:t>
            </w:r>
          </w:p>
        </w:tc>
      </w:tr>
      <w:tr w:rsidR="0062787E" w14:paraId="41CA2719" w14:textId="77777777" w:rsidTr="0062787E">
        <w:trPr>
          <w:trHeight w:val="404"/>
        </w:trPr>
        <w:tc>
          <w:tcPr>
            <w:tcW w:w="4535" w:type="dxa"/>
            <w:shd w:val="clear" w:color="auto" w:fill="CCCCCC" w:themeFill="text1" w:themeFillTint="33"/>
          </w:tcPr>
          <w:p w14:paraId="17999510" w14:textId="77777777" w:rsidR="0062787E" w:rsidRDefault="0062787E" w:rsidP="005E5542">
            <w:pPr>
              <w:pStyle w:val="Headings"/>
              <w:spacing w:before="60" w:after="60"/>
              <w:jc w:val="both"/>
              <w:rPr>
                <w:b/>
                <w:bCs/>
                <w:sz w:val="22"/>
                <w:szCs w:val="22"/>
              </w:rPr>
            </w:pPr>
            <w:r w:rsidRPr="00E03A04">
              <w:rPr>
                <w:bCs/>
                <w:sz w:val="22"/>
                <w:szCs w:val="22"/>
              </w:rPr>
              <w:t xml:space="preserve">Total </w:t>
            </w:r>
          </w:p>
        </w:tc>
        <w:tc>
          <w:tcPr>
            <w:tcW w:w="4535" w:type="dxa"/>
          </w:tcPr>
          <w:p w14:paraId="79F83304" w14:textId="77777777" w:rsidR="0062787E" w:rsidRDefault="0062787E" w:rsidP="005E5542">
            <w:pPr>
              <w:pStyle w:val="Headings"/>
              <w:spacing w:before="60" w:after="60"/>
              <w:jc w:val="both"/>
              <w:rPr>
                <w:b/>
                <w:bCs/>
                <w:sz w:val="22"/>
                <w:szCs w:val="22"/>
              </w:rPr>
            </w:pPr>
            <w:r>
              <w:rPr>
                <w:bCs/>
                <w:sz w:val="22"/>
                <w:szCs w:val="22"/>
              </w:rPr>
              <w:t>180</w:t>
            </w:r>
          </w:p>
        </w:tc>
      </w:tr>
    </w:tbl>
    <w:p w14:paraId="366084B1" w14:textId="77777777" w:rsidR="0062787E" w:rsidRPr="0062787E" w:rsidRDefault="0062787E" w:rsidP="005E5542">
      <w:pPr>
        <w:jc w:val="both"/>
      </w:pPr>
    </w:p>
    <w:p w14:paraId="3D3727D6" w14:textId="5D349F89" w:rsidR="00AF0F09" w:rsidRDefault="00F82BB2" w:rsidP="005E5542">
      <w:pPr>
        <w:pStyle w:val="Heading1"/>
        <w:jc w:val="both"/>
      </w:pPr>
      <w:bookmarkStart w:id="5" w:name="_Toc137714785"/>
      <w:r>
        <w:t>MATHLR</w:t>
      </w:r>
      <w:bookmarkEnd w:id="5"/>
    </w:p>
    <w:p w14:paraId="3736500C" w14:textId="31C9C31F" w:rsidR="00730EC6" w:rsidRPr="00D14B1E" w:rsidRDefault="00BE020D" w:rsidP="005E5542">
      <w:pPr>
        <w:spacing w:after="120"/>
        <w:jc w:val="both"/>
        <w:rPr>
          <w:rFonts w:cs="Arial"/>
          <w:sz w:val="24"/>
          <w:szCs w:val="24"/>
        </w:rPr>
      </w:pPr>
      <w:r>
        <w:rPr>
          <w:rFonts w:cs="Arial"/>
          <w:sz w:val="24"/>
          <w:szCs w:val="24"/>
        </w:rPr>
        <w:t>As part of the new national planning agenda (NPF4</w:t>
      </w:r>
      <w:r w:rsidR="00942312">
        <w:rPr>
          <w:rFonts w:cs="Arial"/>
          <w:sz w:val="24"/>
          <w:szCs w:val="24"/>
        </w:rPr>
        <w:t>),</w:t>
      </w:r>
      <w:r w:rsidR="00730EC6" w:rsidRPr="00D14B1E">
        <w:rPr>
          <w:rFonts w:cs="Arial"/>
          <w:sz w:val="24"/>
          <w:szCs w:val="24"/>
        </w:rPr>
        <w:t xml:space="preserve"> Glasgow City Region partners set a ‘minimum all tenure housing land requirement’ (MATHLR) in June 2021, following Scottish Government consultation on the spatial strategy for NPF</w:t>
      </w:r>
      <w:r>
        <w:rPr>
          <w:rFonts w:cs="Arial"/>
          <w:sz w:val="24"/>
          <w:szCs w:val="24"/>
        </w:rPr>
        <w:t>F4</w:t>
      </w:r>
      <w:r w:rsidR="00730EC6" w:rsidRPr="00D14B1E">
        <w:rPr>
          <w:rFonts w:cs="Arial"/>
          <w:sz w:val="24"/>
          <w:szCs w:val="24"/>
        </w:rPr>
        <w:t xml:space="preserve">. </w:t>
      </w:r>
      <w:r>
        <w:rPr>
          <w:rFonts w:cs="Arial"/>
          <w:sz w:val="24"/>
          <w:szCs w:val="24"/>
        </w:rPr>
        <w:t xml:space="preserve">The Scottish Government’s baseline for MATHLR was based on HNDA methodology; Glasgow City Region partners also included into </w:t>
      </w:r>
      <w:r w:rsidR="00730EC6" w:rsidRPr="00D14B1E">
        <w:rPr>
          <w:rFonts w:cs="Arial"/>
          <w:sz w:val="24"/>
          <w:szCs w:val="24"/>
        </w:rPr>
        <w:t>MATHLR consideration:</w:t>
      </w:r>
    </w:p>
    <w:p w14:paraId="39A9A411" w14:textId="77777777" w:rsidR="00730EC6" w:rsidRPr="00D14B1E" w:rsidRDefault="00730EC6" w:rsidP="005E5542">
      <w:pPr>
        <w:pStyle w:val="ListParagraph"/>
        <w:numPr>
          <w:ilvl w:val="0"/>
          <w:numId w:val="7"/>
        </w:numPr>
        <w:spacing w:after="120"/>
        <w:contextualSpacing w:val="0"/>
        <w:jc w:val="both"/>
        <w:rPr>
          <w:rFonts w:cs="Arial"/>
          <w:sz w:val="24"/>
          <w:szCs w:val="24"/>
        </w:rPr>
      </w:pPr>
      <w:r w:rsidRPr="00D14B1E">
        <w:rPr>
          <w:rFonts w:cs="Arial"/>
          <w:sz w:val="24"/>
          <w:szCs w:val="24"/>
        </w:rPr>
        <w:t>housing system evidence including emerging HNDA housing estimates</w:t>
      </w:r>
    </w:p>
    <w:p w14:paraId="3C07F37F" w14:textId="77777777" w:rsidR="00730EC6" w:rsidRPr="00D14B1E" w:rsidRDefault="00730EC6" w:rsidP="005E5542">
      <w:pPr>
        <w:pStyle w:val="ListParagraph"/>
        <w:numPr>
          <w:ilvl w:val="0"/>
          <w:numId w:val="7"/>
        </w:numPr>
        <w:spacing w:after="120"/>
        <w:contextualSpacing w:val="0"/>
        <w:jc w:val="both"/>
        <w:rPr>
          <w:rFonts w:cs="Arial"/>
          <w:sz w:val="24"/>
          <w:szCs w:val="24"/>
        </w:rPr>
      </w:pPr>
      <w:r w:rsidRPr="00D14B1E">
        <w:rPr>
          <w:rFonts w:cs="Arial"/>
          <w:sz w:val="24"/>
          <w:szCs w:val="24"/>
        </w:rPr>
        <w:t>historic housing completions</w:t>
      </w:r>
    </w:p>
    <w:p w14:paraId="6D470750" w14:textId="77777777" w:rsidR="00AC37D4" w:rsidRDefault="00730EC6" w:rsidP="00AC37D4">
      <w:pPr>
        <w:pStyle w:val="ListParagraph"/>
        <w:numPr>
          <w:ilvl w:val="0"/>
          <w:numId w:val="7"/>
        </w:numPr>
        <w:spacing w:after="120"/>
        <w:contextualSpacing w:val="0"/>
        <w:jc w:val="both"/>
        <w:rPr>
          <w:rFonts w:cs="Arial"/>
          <w:sz w:val="24"/>
          <w:szCs w:val="24"/>
        </w:rPr>
      </w:pPr>
      <w:r w:rsidRPr="00D14B1E">
        <w:rPr>
          <w:rFonts w:cs="Arial"/>
          <w:sz w:val="24"/>
          <w:szCs w:val="24"/>
        </w:rPr>
        <w:t>housing delivery targets aligned to Strategic Housing Investment Plans</w:t>
      </w:r>
    </w:p>
    <w:p w14:paraId="7EBAD186" w14:textId="7F72AC40" w:rsidR="00730EC6" w:rsidRPr="00AC37D4" w:rsidRDefault="00730EC6" w:rsidP="00AC37D4">
      <w:pPr>
        <w:pStyle w:val="ListParagraph"/>
        <w:numPr>
          <w:ilvl w:val="0"/>
          <w:numId w:val="7"/>
        </w:numPr>
        <w:spacing w:after="120"/>
        <w:contextualSpacing w:val="0"/>
        <w:jc w:val="both"/>
        <w:rPr>
          <w:rFonts w:cs="Arial"/>
          <w:sz w:val="24"/>
          <w:szCs w:val="24"/>
        </w:rPr>
      </w:pPr>
      <w:r w:rsidRPr="00AC37D4">
        <w:rPr>
          <w:rFonts w:cs="Arial"/>
          <w:sz w:val="24"/>
          <w:szCs w:val="24"/>
        </w:rPr>
        <w:t>local strategic drivers for housing delivery, including the delivery of the Glasgow City Region Deal and local economic development strategies.</w:t>
      </w:r>
    </w:p>
    <w:p w14:paraId="6004FC09" w14:textId="77777777" w:rsidR="00730EC6" w:rsidRPr="00D14B1E" w:rsidRDefault="00730EC6" w:rsidP="005E5542">
      <w:pPr>
        <w:spacing w:after="240"/>
        <w:jc w:val="both"/>
        <w:rPr>
          <w:rFonts w:cs="Arial"/>
          <w:sz w:val="24"/>
          <w:szCs w:val="24"/>
        </w:rPr>
      </w:pPr>
      <w:r w:rsidRPr="00D14B1E">
        <w:rPr>
          <w:rFonts w:cs="Arial"/>
          <w:sz w:val="24"/>
          <w:szCs w:val="24"/>
        </w:rPr>
        <w:t xml:space="preserve">MATLHR targets set a minimum threshold for housing land allocations within the next Inverclyde Local Development Plan. </w:t>
      </w:r>
    </w:p>
    <w:p w14:paraId="3A45D6F0" w14:textId="77777777" w:rsidR="00730EC6" w:rsidRPr="00D14B1E" w:rsidRDefault="00730EC6" w:rsidP="005E5542">
      <w:pPr>
        <w:shd w:val="clear" w:color="auto" w:fill="000000" w:themeFill="text1" w:themeFillShade="BF"/>
        <w:spacing w:after="240"/>
        <w:jc w:val="both"/>
        <w:rPr>
          <w:rFonts w:cs="Arial"/>
          <w:color w:val="FFFFFF" w:themeColor="background1"/>
          <w:sz w:val="24"/>
          <w:szCs w:val="24"/>
        </w:rPr>
      </w:pPr>
      <w:r w:rsidRPr="00D14B1E">
        <w:rPr>
          <w:rFonts w:cs="Arial"/>
          <w:color w:val="FFFFFF" w:themeColor="background1"/>
          <w:sz w:val="24"/>
          <w:szCs w:val="24"/>
        </w:rPr>
        <w:t>The proposed Minimum All Tenure Housing Land Requirement set for Inverclyde for the next 10 years is 1,500 units.</w:t>
      </w:r>
    </w:p>
    <w:p w14:paraId="24537DB8" w14:textId="1F626EED" w:rsidR="00730EC6" w:rsidRPr="00D14B1E" w:rsidRDefault="002A4C47" w:rsidP="005E5542">
      <w:pPr>
        <w:spacing w:after="240"/>
        <w:jc w:val="both"/>
        <w:rPr>
          <w:rFonts w:cs="Arial"/>
          <w:i/>
          <w:iCs/>
          <w:sz w:val="24"/>
          <w:szCs w:val="24"/>
        </w:rPr>
      </w:pPr>
      <w:r>
        <w:rPr>
          <w:rFonts w:cs="Arial"/>
          <w:sz w:val="24"/>
          <w:szCs w:val="24"/>
        </w:rPr>
        <w:t>I</w:t>
      </w:r>
      <w:r w:rsidR="00D14B1E">
        <w:rPr>
          <w:rFonts w:cs="Arial"/>
          <w:sz w:val="24"/>
          <w:szCs w:val="24"/>
        </w:rPr>
        <w:t>t should be noted that whilst MATHLR gives an indication of how much land capacity there should be</w:t>
      </w:r>
      <w:r>
        <w:rPr>
          <w:rFonts w:cs="Arial"/>
          <w:sz w:val="24"/>
          <w:szCs w:val="24"/>
        </w:rPr>
        <w:t xml:space="preserve"> allocated</w:t>
      </w:r>
      <w:r w:rsidR="00D14B1E">
        <w:rPr>
          <w:rFonts w:cs="Arial"/>
          <w:sz w:val="24"/>
          <w:szCs w:val="24"/>
        </w:rPr>
        <w:t xml:space="preserve"> for housing units within development plans, this does not mean that MATHLR targets indicate a minimum baseline of how many housing units should be built over this </w:t>
      </w:r>
      <w:r>
        <w:rPr>
          <w:rFonts w:cs="Arial"/>
          <w:sz w:val="24"/>
          <w:szCs w:val="24"/>
        </w:rPr>
        <w:t xml:space="preserve">ten-year period. It is therefore within the bounds of possibility that when factoring in HNDA, policy aspirations and practical considerations that </w:t>
      </w:r>
      <w:r w:rsidR="00BE020D">
        <w:rPr>
          <w:rFonts w:cs="Arial"/>
          <w:sz w:val="24"/>
          <w:szCs w:val="24"/>
        </w:rPr>
        <w:t xml:space="preserve">final </w:t>
      </w:r>
      <w:r>
        <w:rPr>
          <w:rFonts w:cs="Arial"/>
          <w:sz w:val="24"/>
          <w:szCs w:val="24"/>
        </w:rPr>
        <w:t xml:space="preserve">HSTs can </w:t>
      </w:r>
      <w:r w:rsidR="00411D91">
        <w:rPr>
          <w:rFonts w:cs="Arial"/>
          <w:sz w:val="24"/>
          <w:szCs w:val="24"/>
        </w:rPr>
        <w:t>end up</w:t>
      </w:r>
      <w:r>
        <w:rPr>
          <w:rFonts w:cs="Arial"/>
          <w:sz w:val="24"/>
          <w:szCs w:val="24"/>
        </w:rPr>
        <w:t xml:space="preserve"> below MATHLR</w:t>
      </w:r>
      <w:r w:rsidR="00683D0E">
        <w:rPr>
          <w:rFonts w:cs="Arial"/>
          <w:sz w:val="24"/>
          <w:szCs w:val="24"/>
        </w:rPr>
        <w:t xml:space="preserve"> figures</w:t>
      </w:r>
      <w:r>
        <w:rPr>
          <w:rFonts w:cs="Arial"/>
          <w:sz w:val="24"/>
          <w:szCs w:val="24"/>
        </w:rPr>
        <w:t xml:space="preserve"> </w:t>
      </w:r>
      <w:r w:rsidR="00411D91">
        <w:rPr>
          <w:rFonts w:cs="Arial"/>
          <w:sz w:val="24"/>
          <w:szCs w:val="24"/>
        </w:rPr>
        <w:t xml:space="preserve">set </w:t>
      </w:r>
      <w:r>
        <w:rPr>
          <w:rFonts w:cs="Arial"/>
          <w:sz w:val="24"/>
          <w:szCs w:val="24"/>
        </w:rPr>
        <w:t xml:space="preserve">as well as above them. </w:t>
      </w:r>
    </w:p>
    <w:p w14:paraId="64F7A60A" w14:textId="05610A96" w:rsidR="00105E2C" w:rsidRDefault="00F82BB2" w:rsidP="005E5542">
      <w:pPr>
        <w:pStyle w:val="Heading1"/>
        <w:jc w:val="both"/>
      </w:pPr>
      <w:bookmarkStart w:id="6" w:name="_Toc137714786"/>
      <w:r>
        <w:t xml:space="preserve">Policy aspirations for </w:t>
      </w:r>
      <w:r w:rsidR="002728AF">
        <w:t xml:space="preserve">population and </w:t>
      </w:r>
      <w:r>
        <w:t>housing growth</w:t>
      </w:r>
      <w:bookmarkEnd w:id="6"/>
      <w:r>
        <w:t xml:space="preserve"> </w:t>
      </w:r>
    </w:p>
    <w:p w14:paraId="4B47D143" w14:textId="20267807" w:rsidR="003F0894" w:rsidRDefault="008913D3" w:rsidP="005E5542">
      <w:pPr>
        <w:jc w:val="both"/>
        <w:rPr>
          <w:sz w:val="24"/>
          <w:szCs w:val="24"/>
        </w:rPr>
      </w:pPr>
      <w:r w:rsidRPr="002728AF">
        <w:rPr>
          <w:sz w:val="24"/>
          <w:szCs w:val="24"/>
        </w:rPr>
        <w:t>Although HNDA assessments are based on projections that indicate the continuance of a trend of</w:t>
      </w:r>
      <w:r w:rsidR="002728AF" w:rsidRPr="002728AF">
        <w:rPr>
          <w:sz w:val="24"/>
          <w:szCs w:val="24"/>
        </w:rPr>
        <w:t xml:space="preserve"> overall</w:t>
      </w:r>
      <w:r w:rsidRPr="002728AF">
        <w:rPr>
          <w:sz w:val="24"/>
          <w:szCs w:val="24"/>
        </w:rPr>
        <w:t xml:space="preserve"> population decline and </w:t>
      </w:r>
      <w:r w:rsidR="002728AF" w:rsidRPr="002728AF">
        <w:rPr>
          <w:sz w:val="24"/>
          <w:szCs w:val="24"/>
        </w:rPr>
        <w:t xml:space="preserve">an aging population, Inverclyde Council and partners in Inverclyde </w:t>
      </w:r>
      <w:r w:rsidR="002728AF">
        <w:rPr>
          <w:sz w:val="24"/>
          <w:szCs w:val="24"/>
        </w:rPr>
        <w:t>A</w:t>
      </w:r>
      <w:r w:rsidR="002728AF" w:rsidRPr="002728AF">
        <w:rPr>
          <w:sz w:val="24"/>
          <w:szCs w:val="24"/>
        </w:rPr>
        <w:t xml:space="preserve">lliance </w:t>
      </w:r>
      <w:r w:rsidR="002728AF">
        <w:rPr>
          <w:sz w:val="24"/>
          <w:szCs w:val="24"/>
        </w:rPr>
        <w:t xml:space="preserve">recognise that </w:t>
      </w:r>
      <w:r w:rsidR="002728AF" w:rsidRPr="002728AF">
        <w:rPr>
          <w:sz w:val="24"/>
          <w:szCs w:val="24"/>
        </w:rPr>
        <w:t>a declining</w:t>
      </w:r>
      <w:r w:rsidR="002728AF">
        <w:rPr>
          <w:sz w:val="24"/>
          <w:szCs w:val="24"/>
        </w:rPr>
        <w:t xml:space="preserve"> </w:t>
      </w:r>
      <w:r w:rsidR="002728AF" w:rsidRPr="002728AF">
        <w:rPr>
          <w:sz w:val="24"/>
          <w:szCs w:val="24"/>
        </w:rPr>
        <w:t>and aging population will have</w:t>
      </w:r>
      <w:r w:rsidR="002728AF">
        <w:rPr>
          <w:sz w:val="24"/>
          <w:szCs w:val="24"/>
        </w:rPr>
        <w:t xml:space="preserve"> </w:t>
      </w:r>
      <w:r w:rsidR="002728AF" w:rsidRPr="002728AF">
        <w:rPr>
          <w:sz w:val="24"/>
          <w:szCs w:val="24"/>
        </w:rPr>
        <w:t>implications in terms of the scale and nature of</w:t>
      </w:r>
      <w:r w:rsidR="002728AF">
        <w:rPr>
          <w:sz w:val="24"/>
          <w:szCs w:val="24"/>
        </w:rPr>
        <w:t xml:space="preserve"> </w:t>
      </w:r>
      <w:r w:rsidR="002728AF" w:rsidRPr="002728AF">
        <w:rPr>
          <w:sz w:val="24"/>
          <w:szCs w:val="24"/>
        </w:rPr>
        <w:t>the future workforce and local demand for public and other services</w:t>
      </w:r>
      <w:r w:rsidR="005A6607">
        <w:rPr>
          <w:rStyle w:val="FootnoteReference"/>
          <w:sz w:val="24"/>
          <w:szCs w:val="24"/>
        </w:rPr>
        <w:footnoteReference w:id="1"/>
      </w:r>
      <w:r w:rsidR="002728AF" w:rsidRPr="002728AF">
        <w:rPr>
          <w:sz w:val="24"/>
          <w:szCs w:val="24"/>
        </w:rPr>
        <w:t>.</w:t>
      </w:r>
      <w:r w:rsidR="002728AF">
        <w:rPr>
          <w:sz w:val="24"/>
          <w:szCs w:val="24"/>
        </w:rPr>
        <w:t xml:space="preserve"> </w:t>
      </w:r>
    </w:p>
    <w:p w14:paraId="6593DE69" w14:textId="77777777" w:rsidR="003F0894" w:rsidRDefault="003F0894" w:rsidP="005E5542">
      <w:pPr>
        <w:jc w:val="both"/>
        <w:rPr>
          <w:sz w:val="24"/>
          <w:szCs w:val="24"/>
        </w:rPr>
      </w:pPr>
    </w:p>
    <w:p w14:paraId="640ADDAC" w14:textId="77777777" w:rsidR="00AC2975" w:rsidRDefault="002728AF" w:rsidP="005E5542">
      <w:pPr>
        <w:jc w:val="both"/>
        <w:rPr>
          <w:sz w:val="24"/>
          <w:szCs w:val="24"/>
        </w:rPr>
      </w:pPr>
      <w:r>
        <w:rPr>
          <w:sz w:val="24"/>
          <w:szCs w:val="24"/>
        </w:rPr>
        <w:t xml:space="preserve">As such, Inverclyde’s Local Outcome Improvement Plan has identified addressing population decline as their Priority 1: </w:t>
      </w:r>
    </w:p>
    <w:p w14:paraId="12F13D02" w14:textId="77777777" w:rsidR="0078595F" w:rsidRDefault="0078595F" w:rsidP="005E5542">
      <w:pPr>
        <w:ind w:left="720"/>
        <w:jc w:val="both"/>
        <w:rPr>
          <w:i/>
          <w:iCs/>
          <w:sz w:val="24"/>
          <w:szCs w:val="24"/>
        </w:rPr>
      </w:pPr>
    </w:p>
    <w:p w14:paraId="743BC334" w14:textId="55959AB2" w:rsidR="003F0894" w:rsidRDefault="00AC2975" w:rsidP="005E5542">
      <w:pPr>
        <w:ind w:left="720"/>
        <w:jc w:val="both"/>
        <w:rPr>
          <w:sz w:val="24"/>
          <w:szCs w:val="24"/>
        </w:rPr>
      </w:pPr>
      <w:r>
        <w:rPr>
          <w:i/>
          <w:iCs/>
          <w:sz w:val="24"/>
          <w:szCs w:val="24"/>
        </w:rPr>
        <w:t>“</w:t>
      </w:r>
      <w:r w:rsidR="002728AF">
        <w:rPr>
          <w:i/>
          <w:iCs/>
          <w:sz w:val="24"/>
          <w:szCs w:val="24"/>
        </w:rPr>
        <w:t xml:space="preserve">Inverclyde’s population will be stable and sustainable </w:t>
      </w:r>
      <w:r w:rsidR="002728AF" w:rsidRPr="002728AF">
        <w:rPr>
          <w:i/>
          <w:iCs/>
          <w:sz w:val="24"/>
          <w:szCs w:val="24"/>
        </w:rPr>
        <w:t>appropriate balance</w:t>
      </w:r>
      <w:r w:rsidR="002728AF">
        <w:rPr>
          <w:i/>
          <w:iCs/>
          <w:sz w:val="24"/>
          <w:szCs w:val="24"/>
        </w:rPr>
        <w:t xml:space="preserve"> </w:t>
      </w:r>
      <w:r w:rsidR="002728AF" w:rsidRPr="002728AF">
        <w:rPr>
          <w:i/>
          <w:iCs/>
          <w:sz w:val="24"/>
          <w:szCs w:val="24"/>
        </w:rPr>
        <w:t>of socio - economic groups that is conducive to local economic prosperity and longer</w:t>
      </w:r>
      <w:r w:rsidR="002728AF">
        <w:rPr>
          <w:i/>
          <w:iCs/>
          <w:sz w:val="24"/>
          <w:szCs w:val="24"/>
        </w:rPr>
        <w:t>-term</w:t>
      </w:r>
      <w:r w:rsidR="002728AF" w:rsidRPr="002728AF">
        <w:rPr>
          <w:i/>
          <w:iCs/>
          <w:sz w:val="24"/>
          <w:szCs w:val="24"/>
        </w:rPr>
        <w:t xml:space="preserve"> population growth</w:t>
      </w:r>
      <w:r w:rsidR="00AC37D4">
        <w:rPr>
          <w:rStyle w:val="FootnoteReference"/>
          <w:i/>
          <w:iCs/>
          <w:sz w:val="24"/>
          <w:szCs w:val="24"/>
        </w:rPr>
        <w:footnoteReference w:id="2"/>
      </w:r>
      <w:r w:rsidR="002728AF" w:rsidRPr="002728AF">
        <w:rPr>
          <w:i/>
          <w:iCs/>
          <w:sz w:val="24"/>
          <w:szCs w:val="24"/>
        </w:rPr>
        <w:t>”</w:t>
      </w:r>
      <w:r w:rsidR="002728AF">
        <w:rPr>
          <w:i/>
          <w:iCs/>
          <w:sz w:val="24"/>
          <w:szCs w:val="24"/>
        </w:rPr>
        <w:t xml:space="preserve">. </w:t>
      </w:r>
    </w:p>
    <w:p w14:paraId="67135F7F" w14:textId="77777777" w:rsidR="003F0894" w:rsidRDefault="003F0894" w:rsidP="005E5542">
      <w:pPr>
        <w:jc w:val="both"/>
        <w:rPr>
          <w:sz w:val="24"/>
          <w:szCs w:val="24"/>
        </w:rPr>
      </w:pPr>
    </w:p>
    <w:p w14:paraId="4F45B261" w14:textId="396D96E0" w:rsidR="00105E2C" w:rsidRDefault="002D1454" w:rsidP="005E5542">
      <w:pPr>
        <w:jc w:val="both"/>
        <w:rPr>
          <w:sz w:val="24"/>
          <w:szCs w:val="24"/>
        </w:rPr>
      </w:pPr>
      <w:r>
        <w:rPr>
          <w:sz w:val="24"/>
          <w:szCs w:val="24"/>
        </w:rPr>
        <w:t>Towards achieving</w:t>
      </w:r>
      <w:r w:rsidR="003F0894">
        <w:rPr>
          <w:sz w:val="24"/>
          <w:szCs w:val="24"/>
        </w:rPr>
        <w:t xml:space="preserve"> this Outcome, Inverclyde Alliance commissioned </w:t>
      </w:r>
      <w:r w:rsidR="00AC2975">
        <w:rPr>
          <w:sz w:val="24"/>
          <w:szCs w:val="24"/>
        </w:rPr>
        <w:t>a</w:t>
      </w:r>
      <w:r w:rsidR="003F0894" w:rsidRPr="003F0894">
        <w:rPr>
          <w:sz w:val="24"/>
          <w:szCs w:val="24"/>
        </w:rPr>
        <w:t xml:space="preserve"> Re-Population Strategy and Action Plan</w:t>
      </w:r>
      <w:r w:rsidR="003F0894">
        <w:rPr>
          <w:sz w:val="24"/>
          <w:szCs w:val="24"/>
        </w:rPr>
        <w:t xml:space="preserve"> which </w:t>
      </w:r>
      <w:r w:rsidR="0091682A">
        <w:rPr>
          <w:sz w:val="24"/>
          <w:szCs w:val="24"/>
        </w:rPr>
        <w:t>seeks</w:t>
      </w:r>
      <w:r w:rsidR="003F0894">
        <w:rPr>
          <w:sz w:val="24"/>
          <w:szCs w:val="24"/>
        </w:rPr>
        <w:t xml:space="preserve"> to “</w:t>
      </w:r>
      <w:r w:rsidR="003F0894" w:rsidRPr="003F0894">
        <w:rPr>
          <w:sz w:val="24"/>
          <w:szCs w:val="24"/>
        </w:rPr>
        <w:t>halt and reverse the de-population of Inverclyde by 2025 through improving the employment, housing and infrastructure offer</w:t>
      </w:r>
      <w:r w:rsidR="003F0894">
        <w:rPr>
          <w:sz w:val="24"/>
          <w:szCs w:val="24"/>
        </w:rPr>
        <w:t>”</w:t>
      </w:r>
      <w:r w:rsidR="00AC37D4">
        <w:rPr>
          <w:rStyle w:val="FootnoteReference"/>
          <w:sz w:val="24"/>
          <w:szCs w:val="24"/>
        </w:rPr>
        <w:footnoteReference w:id="3"/>
      </w:r>
      <w:r w:rsidR="003F0894">
        <w:rPr>
          <w:sz w:val="24"/>
          <w:szCs w:val="24"/>
        </w:rPr>
        <w:t xml:space="preserve">. Regarding the housing component of this </w:t>
      </w:r>
      <w:r w:rsidR="0091682A">
        <w:rPr>
          <w:sz w:val="24"/>
          <w:szCs w:val="24"/>
        </w:rPr>
        <w:t>strategy, it outlines an aim to grow the housing market wherein “the evidence shows that while Inverclyde has successfully developed parts of its housing offer it has not produced an appropriate range and mix of private housing required to maximise its attractiveness to everyone. Inverclyde needs more private houses”</w:t>
      </w:r>
      <w:r w:rsidR="00AC37D4">
        <w:rPr>
          <w:rStyle w:val="FootnoteReference"/>
          <w:sz w:val="24"/>
          <w:szCs w:val="24"/>
        </w:rPr>
        <w:footnoteReference w:id="4"/>
      </w:r>
      <w:r w:rsidR="0091682A">
        <w:rPr>
          <w:sz w:val="24"/>
          <w:szCs w:val="24"/>
        </w:rPr>
        <w:t xml:space="preserve">. </w:t>
      </w:r>
      <w:r w:rsidR="001A17F8">
        <w:rPr>
          <w:sz w:val="24"/>
          <w:szCs w:val="24"/>
        </w:rPr>
        <w:t>There</w:t>
      </w:r>
      <w:r w:rsidR="00E413ED">
        <w:rPr>
          <w:sz w:val="24"/>
          <w:szCs w:val="24"/>
        </w:rPr>
        <w:t xml:space="preserve"> is a focus on attracting and retaining young people and families to live in Inverclyde which may be achievable through increasing “the level of private house building in spatial priority areas in Inverclyde”. </w:t>
      </w:r>
    </w:p>
    <w:p w14:paraId="0208B6F6" w14:textId="235F9AFD" w:rsidR="0091682A" w:rsidRDefault="0091682A" w:rsidP="005E5542">
      <w:pPr>
        <w:jc w:val="both"/>
        <w:rPr>
          <w:sz w:val="24"/>
          <w:szCs w:val="24"/>
        </w:rPr>
      </w:pPr>
    </w:p>
    <w:p w14:paraId="25C9A86B" w14:textId="57B045F5" w:rsidR="0091682A" w:rsidRDefault="00AC2975" w:rsidP="005E5542">
      <w:pPr>
        <w:jc w:val="both"/>
        <w:rPr>
          <w:sz w:val="24"/>
          <w:szCs w:val="24"/>
        </w:rPr>
      </w:pPr>
      <w:r>
        <w:rPr>
          <w:sz w:val="24"/>
          <w:szCs w:val="24"/>
        </w:rPr>
        <w:t>T</w:t>
      </w:r>
      <w:r w:rsidR="0091682A">
        <w:rPr>
          <w:sz w:val="24"/>
          <w:szCs w:val="24"/>
        </w:rPr>
        <w:t>he LHS and LDPs</w:t>
      </w:r>
      <w:r w:rsidR="00942312">
        <w:rPr>
          <w:sz w:val="24"/>
          <w:szCs w:val="24"/>
        </w:rPr>
        <w:t>,</w:t>
      </w:r>
      <w:r w:rsidR="005961AA">
        <w:rPr>
          <w:sz w:val="24"/>
          <w:szCs w:val="24"/>
        </w:rPr>
        <w:t xml:space="preserve"> </w:t>
      </w:r>
      <w:r w:rsidR="0091682A">
        <w:rPr>
          <w:sz w:val="24"/>
          <w:szCs w:val="24"/>
        </w:rPr>
        <w:t>with their scope for setting the strategic agenda to enable housing mixes across tenure</w:t>
      </w:r>
      <w:r w:rsidR="00942312">
        <w:rPr>
          <w:sz w:val="24"/>
          <w:szCs w:val="24"/>
        </w:rPr>
        <w:t>,</w:t>
      </w:r>
      <w:r w:rsidR="0091682A">
        <w:rPr>
          <w:sz w:val="24"/>
          <w:szCs w:val="24"/>
        </w:rPr>
        <w:t xml:space="preserve"> have their part to play.</w:t>
      </w:r>
      <w:r w:rsidR="006A0C0E">
        <w:rPr>
          <w:sz w:val="24"/>
          <w:szCs w:val="24"/>
        </w:rPr>
        <w:t xml:space="preserve"> LHS 2023-</w:t>
      </w:r>
      <w:r w:rsidR="004418C1">
        <w:rPr>
          <w:sz w:val="24"/>
          <w:szCs w:val="24"/>
        </w:rPr>
        <w:t>2028 analyses</w:t>
      </w:r>
      <w:r w:rsidR="006A0C0E">
        <w:rPr>
          <w:sz w:val="24"/>
          <w:szCs w:val="24"/>
        </w:rPr>
        <w:t xml:space="preserve"> </w:t>
      </w:r>
      <w:r w:rsidR="00066B7B">
        <w:rPr>
          <w:sz w:val="24"/>
          <w:szCs w:val="24"/>
        </w:rPr>
        <w:t>challenges in Inverclyde’s housing system</w:t>
      </w:r>
      <w:r w:rsidR="009E64E5">
        <w:rPr>
          <w:sz w:val="24"/>
          <w:szCs w:val="24"/>
        </w:rPr>
        <w:t xml:space="preserve"> </w:t>
      </w:r>
      <w:r w:rsidR="006A0C0E">
        <w:rPr>
          <w:sz w:val="24"/>
          <w:szCs w:val="24"/>
        </w:rPr>
        <w:t xml:space="preserve">noting </w:t>
      </w:r>
      <w:r w:rsidR="009E64E5">
        <w:rPr>
          <w:sz w:val="24"/>
          <w:szCs w:val="24"/>
        </w:rPr>
        <w:t xml:space="preserve">areas where housing as presently constituted requires improvement to meet demographic challenges, quality standards, decarbonisation </w:t>
      </w:r>
      <w:r w:rsidR="001C7414">
        <w:rPr>
          <w:sz w:val="24"/>
          <w:szCs w:val="24"/>
        </w:rPr>
        <w:t>imperatives</w:t>
      </w:r>
      <w:r w:rsidR="006A0C0E">
        <w:rPr>
          <w:sz w:val="24"/>
          <w:szCs w:val="24"/>
        </w:rPr>
        <w:t xml:space="preserve">. Thereafter the LHS sets </w:t>
      </w:r>
      <w:r w:rsidR="009E64E5">
        <w:rPr>
          <w:sz w:val="24"/>
          <w:szCs w:val="24"/>
        </w:rPr>
        <w:t>broad outcomes</w:t>
      </w:r>
      <w:r w:rsidR="001C7414">
        <w:rPr>
          <w:sz w:val="24"/>
          <w:szCs w:val="24"/>
        </w:rPr>
        <w:t>, action plans</w:t>
      </w:r>
      <w:r w:rsidR="009E64E5">
        <w:rPr>
          <w:sz w:val="24"/>
          <w:szCs w:val="24"/>
        </w:rPr>
        <w:t xml:space="preserve"> and delivery groups to meet such </w:t>
      </w:r>
      <w:r w:rsidR="001F7762">
        <w:rPr>
          <w:sz w:val="24"/>
          <w:szCs w:val="24"/>
        </w:rPr>
        <w:t>challenges.</w:t>
      </w:r>
      <w:r w:rsidR="009E64E5">
        <w:rPr>
          <w:sz w:val="24"/>
          <w:szCs w:val="24"/>
        </w:rPr>
        <w:t xml:space="preserve"> </w:t>
      </w:r>
      <w:r w:rsidR="001C7414">
        <w:rPr>
          <w:sz w:val="24"/>
          <w:szCs w:val="24"/>
        </w:rPr>
        <w:t xml:space="preserve">Regarding how the LHS agenda will support repopulation objectives it does this through marking a transition from a social rented housing supply agenda to a regeneration one supportive of interventions that supports a wider range of tenures. In that regard the </w:t>
      </w:r>
      <w:r w:rsidR="0091682A">
        <w:rPr>
          <w:sz w:val="24"/>
          <w:szCs w:val="24"/>
        </w:rPr>
        <w:t xml:space="preserve">SHIP with its focus on affordable homes can also assist the development of tenures and market segments via its ability through innovative tenure balances such as </w:t>
      </w:r>
      <w:r>
        <w:rPr>
          <w:sz w:val="24"/>
          <w:szCs w:val="24"/>
        </w:rPr>
        <w:t>Mid-Market</w:t>
      </w:r>
      <w:r w:rsidR="0091682A">
        <w:rPr>
          <w:sz w:val="24"/>
          <w:szCs w:val="24"/>
        </w:rPr>
        <w:t xml:space="preserve"> Rent </w:t>
      </w:r>
      <w:r>
        <w:rPr>
          <w:sz w:val="24"/>
          <w:szCs w:val="24"/>
        </w:rPr>
        <w:t>and New Supplied Shared Equity</w:t>
      </w:r>
      <w:r w:rsidR="00926537">
        <w:rPr>
          <w:sz w:val="24"/>
          <w:szCs w:val="24"/>
        </w:rPr>
        <w:t>. These delivery models</w:t>
      </w:r>
      <w:r w:rsidR="001A17F8">
        <w:rPr>
          <w:sz w:val="24"/>
          <w:szCs w:val="24"/>
        </w:rPr>
        <w:t xml:space="preserve"> </w:t>
      </w:r>
      <w:r w:rsidR="00926537">
        <w:rPr>
          <w:sz w:val="24"/>
          <w:szCs w:val="24"/>
        </w:rPr>
        <w:t>offer</w:t>
      </w:r>
      <w:r w:rsidR="001A17F8">
        <w:rPr>
          <w:sz w:val="24"/>
          <w:szCs w:val="24"/>
        </w:rPr>
        <w:t xml:space="preserve"> housing options for those not accounted for in social rented allocations policies</w:t>
      </w:r>
      <w:r>
        <w:rPr>
          <w:sz w:val="24"/>
          <w:szCs w:val="24"/>
        </w:rPr>
        <w:t xml:space="preserve"> </w:t>
      </w:r>
      <w:r w:rsidR="00926537">
        <w:rPr>
          <w:sz w:val="24"/>
          <w:szCs w:val="24"/>
        </w:rPr>
        <w:t>but also provide</w:t>
      </w:r>
      <w:r>
        <w:rPr>
          <w:sz w:val="24"/>
          <w:szCs w:val="24"/>
        </w:rPr>
        <w:t xml:space="preserve"> indications to private developers that there is market potential for additional private housing supply</w:t>
      </w:r>
      <w:r w:rsidR="00926537">
        <w:rPr>
          <w:sz w:val="24"/>
          <w:szCs w:val="24"/>
        </w:rPr>
        <w:t>,</w:t>
      </w:r>
      <w:r>
        <w:rPr>
          <w:sz w:val="24"/>
          <w:szCs w:val="24"/>
        </w:rPr>
        <w:t xml:space="preserve"> catering to a wider range of socio-economic groups. </w:t>
      </w:r>
    </w:p>
    <w:p w14:paraId="0114A38B" w14:textId="77777777" w:rsidR="001C7414" w:rsidRDefault="001C7414" w:rsidP="005E5542">
      <w:pPr>
        <w:jc w:val="both"/>
        <w:rPr>
          <w:sz w:val="24"/>
          <w:szCs w:val="24"/>
        </w:rPr>
      </w:pPr>
    </w:p>
    <w:p w14:paraId="55774220" w14:textId="59A14B08" w:rsidR="00691392" w:rsidRDefault="00066B7B" w:rsidP="005E5542">
      <w:pPr>
        <w:jc w:val="both"/>
        <w:rPr>
          <w:sz w:val="24"/>
          <w:szCs w:val="24"/>
        </w:rPr>
      </w:pPr>
      <w:r>
        <w:rPr>
          <w:sz w:val="24"/>
          <w:szCs w:val="24"/>
        </w:rPr>
        <w:t xml:space="preserve">The HST clearly needs to take cognisance of </w:t>
      </w:r>
      <w:r w:rsidR="001F7762">
        <w:rPr>
          <w:sz w:val="24"/>
          <w:szCs w:val="24"/>
        </w:rPr>
        <w:t>these aspirations</w:t>
      </w:r>
      <w:r>
        <w:rPr>
          <w:sz w:val="24"/>
          <w:szCs w:val="24"/>
        </w:rPr>
        <w:t xml:space="preserve"> and set targets that go beyond HNDA3 particularly given that this assessment does not recommend any tenures beyond a small number of social rented ones (18 per annum).</w:t>
      </w:r>
    </w:p>
    <w:p w14:paraId="46B8BE3A" w14:textId="77777777" w:rsidR="00066B7B" w:rsidRDefault="00066B7B" w:rsidP="005E5542">
      <w:pPr>
        <w:jc w:val="both"/>
        <w:rPr>
          <w:sz w:val="24"/>
          <w:szCs w:val="24"/>
        </w:rPr>
      </w:pPr>
    </w:p>
    <w:p w14:paraId="6F878F5F" w14:textId="3EEF67F6" w:rsidR="00691392" w:rsidRDefault="00691392" w:rsidP="005E5542">
      <w:pPr>
        <w:jc w:val="both"/>
        <w:rPr>
          <w:sz w:val="24"/>
          <w:szCs w:val="24"/>
        </w:rPr>
      </w:pPr>
      <w:r>
        <w:rPr>
          <w:sz w:val="24"/>
          <w:szCs w:val="24"/>
        </w:rPr>
        <w:t>Aspirations for building</w:t>
      </w:r>
      <w:r w:rsidR="00926537">
        <w:rPr>
          <w:sz w:val="24"/>
          <w:szCs w:val="24"/>
        </w:rPr>
        <w:t xml:space="preserve"> Inverclyde’s</w:t>
      </w:r>
      <w:r>
        <w:rPr>
          <w:sz w:val="24"/>
          <w:szCs w:val="24"/>
        </w:rPr>
        <w:t xml:space="preserve"> housing supply</w:t>
      </w:r>
      <w:r w:rsidR="00926537">
        <w:rPr>
          <w:sz w:val="24"/>
          <w:szCs w:val="24"/>
        </w:rPr>
        <w:t>,</w:t>
      </w:r>
      <w:r>
        <w:rPr>
          <w:sz w:val="24"/>
          <w:szCs w:val="24"/>
        </w:rPr>
        <w:t xml:space="preserve"> suited for population renewal can be realised through </w:t>
      </w:r>
      <w:r w:rsidRPr="00691392">
        <w:rPr>
          <w:sz w:val="24"/>
          <w:szCs w:val="24"/>
        </w:rPr>
        <w:t>projects and programmes</w:t>
      </w:r>
      <w:r>
        <w:rPr>
          <w:sz w:val="24"/>
          <w:szCs w:val="24"/>
        </w:rPr>
        <w:t xml:space="preserve"> brought together in an action plan which is to be given adequate detail to obtain funding support</w:t>
      </w:r>
      <w:r w:rsidR="005A6607">
        <w:rPr>
          <w:rStyle w:val="FootnoteReference"/>
          <w:sz w:val="24"/>
          <w:szCs w:val="24"/>
        </w:rPr>
        <w:footnoteReference w:id="5"/>
      </w:r>
      <w:r>
        <w:rPr>
          <w:sz w:val="24"/>
          <w:szCs w:val="24"/>
        </w:rPr>
        <w:t>. At present the projects that may be mobilised to achieve repopulation outcomes include:</w:t>
      </w:r>
    </w:p>
    <w:p w14:paraId="572AF74A" w14:textId="0B599048" w:rsidR="00691392" w:rsidRDefault="00691392" w:rsidP="005E5542">
      <w:pPr>
        <w:pStyle w:val="ListParagraph"/>
        <w:numPr>
          <w:ilvl w:val="0"/>
          <w:numId w:val="8"/>
        </w:numPr>
        <w:jc w:val="both"/>
        <w:rPr>
          <w:sz w:val="24"/>
          <w:szCs w:val="24"/>
        </w:rPr>
      </w:pPr>
      <w:r>
        <w:rPr>
          <w:sz w:val="24"/>
          <w:szCs w:val="24"/>
        </w:rPr>
        <w:t>Greenock Central regeneration</w:t>
      </w:r>
      <w:r w:rsidR="00AC37D4">
        <w:rPr>
          <w:sz w:val="24"/>
          <w:szCs w:val="24"/>
        </w:rPr>
        <w:t>,</w:t>
      </w:r>
    </w:p>
    <w:p w14:paraId="2FE26D43" w14:textId="0600D26E" w:rsidR="00691392" w:rsidRDefault="00691392" w:rsidP="00AC37D4">
      <w:pPr>
        <w:pStyle w:val="ListParagraph"/>
        <w:numPr>
          <w:ilvl w:val="0"/>
          <w:numId w:val="8"/>
        </w:numPr>
        <w:spacing w:after="240"/>
        <w:jc w:val="both"/>
        <w:rPr>
          <w:sz w:val="24"/>
          <w:szCs w:val="24"/>
        </w:rPr>
      </w:pPr>
      <w:r>
        <w:rPr>
          <w:sz w:val="24"/>
          <w:szCs w:val="24"/>
        </w:rPr>
        <w:t>Clune Park regeneration</w:t>
      </w:r>
      <w:r w:rsidR="00AC37D4">
        <w:rPr>
          <w:sz w:val="24"/>
          <w:szCs w:val="24"/>
        </w:rPr>
        <w:t>.</w:t>
      </w:r>
    </w:p>
    <w:p w14:paraId="445B5083" w14:textId="13E23402" w:rsidR="004350BA" w:rsidRDefault="004350BA" w:rsidP="004350BA">
      <w:pPr>
        <w:jc w:val="both"/>
        <w:rPr>
          <w:sz w:val="24"/>
          <w:szCs w:val="24"/>
        </w:rPr>
      </w:pPr>
      <w:r>
        <w:rPr>
          <w:sz w:val="24"/>
          <w:szCs w:val="24"/>
        </w:rPr>
        <w:t xml:space="preserve">Additionally, there are Priority Places set out in the LDP for development that may include housing mixes that could positively influence repopulation objectives. </w:t>
      </w:r>
    </w:p>
    <w:p w14:paraId="79BD8DC9" w14:textId="5F5DE2A3" w:rsidR="004350BA" w:rsidRDefault="004350BA" w:rsidP="004350BA">
      <w:pPr>
        <w:pStyle w:val="ListParagraph"/>
        <w:numPr>
          <w:ilvl w:val="0"/>
          <w:numId w:val="8"/>
        </w:numPr>
        <w:jc w:val="both"/>
        <w:rPr>
          <w:sz w:val="24"/>
          <w:szCs w:val="24"/>
        </w:rPr>
      </w:pPr>
      <w:r>
        <w:rPr>
          <w:sz w:val="24"/>
          <w:szCs w:val="24"/>
        </w:rPr>
        <w:t>The Harbours, Greenock</w:t>
      </w:r>
      <w:r w:rsidR="00AC37D4">
        <w:rPr>
          <w:sz w:val="24"/>
          <w:szCs w:val="24"/>
        </w:rPr>
        <w:t>,</w:t>
      </w:r>
      <w:r>
        <w:rPr>
          <w:sz w:val="24"/>
          <w:szCs w:val="24"/>
        </w:rPr>
        <w:t xml:space="preserve"> </w:t>
      </w:r>
    </w:p>
    <w:p w14:paraId="10DBB69F" w14:textId="2FCC7848" w:rsidR="004350BA" w:rsidRDefault="004350BA" w:rsidP="004350BA">
      <w:pPr>
        <w:pStyle w:val="ListParagraph"/>
        <w:numPr>
          <w:ilvl w:val="0"/>
          <w:numId w:val="8"/>
        </w:numPr>
        <w:jc w:val="both"/>
        <w:rPr>
          <w:sz w:val="24"/>
          <w:szCs w:val="24"/>
        </w:rPr>
      </w:pPr>
      <w:r>
        <w:rPr>
          <w:sz w:val="24"/>
          <w:szCs w:val="24"/>
        </w:rPr>
        <w:t>James Watt/Garvel Island, Greenock</w:t>
      </w:r>
      <w:r w:rsidR="00AC37D4">
        <w:rPr>
          <w:sz w:val="24"/>
          <w:szCs w:val="24"/>
        </w:rPr>
        <w:t>,</w:t>
      </w:r>
    </w:p>
    <w:p w14:paraId="4D3E45E4" w14:textId="522F3FAA" w:rsidR="004350BA" w:rsidRDefault="004350BA" w:rsidP="004350BA">
      <w:pPr>
        <w:pStyle w:val="ListParagraph"/>
        <w:numPr>
          <w:ilvl w:val="0"/>
          <w:numId w:val="8"/>
        </w:numPr>
        <w:jc w:val="both"/>
        <w:rPr>
          <w:sz w:val="24"/>
          <w:szCs w:val="24"/>
        </w:rPr>
      </w:pPr>
      <w:r>
        <w:rPr>
          <w:sz w:val="24"/>
          <w:szCs w:val="24"/>
        </w:rPr>
        <w:t>Former Inverkip power station</w:t>
      </w:r>
      <w:r w:rsidR="00AC37D4">
        <w:rPr>
          <w:sz w:val="24"/>
          <w:szCs w:val="24"/>
        </w:rPr>
        <w:t>,</w:t>
      </w:r>
    </w:p>
    <w:p w14:paraId="2BA35739" w14:textId="79AA50F8" w:rsidR="004350BA" w:rsidRDefault="004350BA" w:rsidP="004350BA">
      <w:pPr>
        <w:pStyle w:val="ListParagraph"/>
        <w:numPr>
          <w:ilvl w:val="0"/>
          <w:numId w:val="8"/>
        </w:numPr>
        <w:jc w:val="both"/>
        <w:rPr>
          <w:sz w:val="24"/>
          <w:szCs w:val="24"/>
        </w:rPr>
      </w:pPr>
      <w:r>
        <w:rPr>
          <w:sz w:val="24"/>
          <w:szCs w:val="24"/>
        </w:rPr>
        <w:t>Peat Road/Hole Farm, Greenock</w:t>
      </w:r>
      <w:r w:rsidR="00AC37D4">
        <w:rPr>
          <w:sz w:val="24"/>
          <w:szCs w:val="24"/>
        </w:rPr>
        <w:t>,</w:t>
      </w:r>
    </w:p>
    <w:p w14:paraId="3D442D1E" w14:textId="15F12FBC" w:rsidR="004350BA" w:rsidRDefault="004350BA" w:rsidP="004350BA">
      <w:pPr>
        <w:pStyle w:val="ListParagraph"/>
        <w:numPr>
          <w:ilvl w:val="0"/>
          <w:numId w:val="8"/>
        </w:numPr>
        <w:jc w:val="both"/>
        <w:rPr>
          <w:sz w:val="24"/>
          <w:szCs w:val="24"/>
        </w:rPr>
      </w:pPr>
      <w:r>
        <w:rPr>
          <w:sz w:val="24"/>
          <w:szCs w:val="24"/>
        </w:rPr>
        <w:t>Spango Valley, Greenock</w:t>
      </w:r>
      <w:r w:rsidR="00AC37D4">
        <w:rPr>
          <w:sz w:val="24"/>
          <w:szCs w:val="24"/>
        </w:rPr>
        <w:t>,</w:t>
      </w:r>
    </w:p>
    <w:p w14:paraId="19093971" w14:textId="60C0F9AA" w:rsidR="004350BA" w:rsidRDefault="004350BA" w:rsidP="004350BA">
      <w:pPr>
        <w:pStyle w:val="ListParagraph"/>
        <w:numPr>
          <w:ilvl w:val="0"/>
          <w:numId w:val="8"/>
        </w:numPr>
        <w:jc w:val="both"/>
        <w:rPr>
          <w:sz w:val="24"/>
          <w:szCs w:val="24"/>
        </w:rPr>
      </w:pPr>
      <w:r>
        <w:rPr>
          <w:sz w:val="24"/>
          <w:szCs w:val="24"/>
        </w:rPr>
        <w:t>Drumfrochar Road, Greenock</w:t>
      </w:r>
      <w:r w:rsidR="00AC37D4">
        <w:rPr>
          <w:sz w:val="24"/>
          <w:szCs w:val="24"/>
        </w:rPr>
        <w:t>,</w:t>
      </w:r>
    </w:p>
    <w:p w14:paraId="04CFBD34" w14:textId="6636DBB4" w:rsidR="004350BA" w:rsidRDefault="004350BA" w:rsidP="004350BA">
      <w:pPr>
        <w:pStyle w:val="ListParagraph"/>
        <w:numPr>
          <w:ilvl w:val="0"/>
          <w:numId w:val="8"/>
        </w:numPr>
        <w:jc w:val="both"/>
        <w:rPr>
          <w:sz w:val="24"/>
          <w:szCs w:val="24"/>
        </w:rPr>
      </w:pPr>
      <w:r>
        <w:rPr>
          <w:sz w:val="24"/>
          <w:szCs w:val="24"/>
        </w:rPr>
        <w:t>Port Glasgow Eastern Gateway</w:t>
      </w:r>
      <w:r w:rsidR="00AC37D4">
        <w:rPr>
          <w:sz w:val="24"/>
          <w:szCs w:val="24"/>
        </w:rPr>
        <w:t>,</w:t>
      </w:r>
    </w:p>
    <w:p w14:paraId="1F52092D" w14:textId="61976646" w:rsidR="00691392" w:rsidRDefault="004350BA" w:rsidP="00AC37D4">
      <w:pPr>
        <w:pStyle w:val="ListParagraph"/>
        <w:numPr>
          <w:ilvl w:val="0"/>
          <w:numId w:val="8"/>
        </w:numPr>
        <w:spacing w:after="240"/>
        <w:jc w:val="both"/>
        <w:rPr>
          <w:sz w:val="24"/>
          <w:szCs w:val="24"/>
        </w:rPr>
      </w:pPr>
      <w:r>
        <w:rPr>
          <w:sz w:val="24"/>
          <w:szCs w:val="24"/>
        </w:rPr>
        <w:t>Port Glasgow Industrial Estate</w:t>
      </w:r>
      <w:r w:rsidR="00AC37D4">
        <w:rPr>
          <w:sz w:val="24"/>
          <w:szCs w:val="24"/>
        </w:rPr>
        <w:t>.</w:t>
      </w:r>
    </w:p>
    <w:p w14:paraId="6F59412F" w14:textId="53DFE209" w:rsidR="001F7762" w:rsidRPr="001F7762" w:rsidRDefault="001F7762" w:rsidP="001F7762">
      <w:pPr>
        <w:jc w:val="both"/>
        <w:rPr>
          <w:sz w:val="24"/>
          <w:szCs w:val="24"/>
        </w:rPr>
      </w:pPr>
      <w:r>
        <w:rPr>
          <w:sz w:val="24"/>
          <w:szCs w:val="24"/>
        </w:rPr>
        <w:t xml:space="preserve">These priority places are reflected in the </w:t>
      </w:r>
      <w:r w:rsidR="00EA568F">
        <w:rPr>
          <w:sz w:val="24"/>
          <w:szCs w:val="24"/>
        </w:rPr>
        <w:t>LHS 2023-28</w:t>
      </w:r>
      <w:r>
        <w:rPr>
          <w:sz w:val="24"/>
          <w:szCs w:val="24"/>
        </w:rPr>
        <w:t xml:space="preserve">; </w:t>
      </w:r>
      <w:r w:rsidR="00EA568F">
        <w:rPr>
          <w:sz w:val="24"/>
          <w:szCs w:val="24"/>
        </w:rPr>
        <w:t>furthermore,</w:t>
      </w:r>
      <w:r>
        <w:rPr>
          <w:sz w:val="24"/>
          <w:szCs w:val="24"/>
        </w:rPr>
        <w:t xml:space="preserve"> the LHS includes within its action plan means of exploring new regeneration possibilities that may be inclusive of yet-to-be-determined sites. </w:t>
      </w:r>
    </w:p>
    <w:p w14:paraId="39089A39" w14:textId="3B341A8F" w:rsidR="005E5542" w:rsidRDefault="005E5542" w:rsidP="005E5542">
      <w:pPr>
        <w:pStyle w:val="Heading1"/>
        <w:jc w:val="both"/>
      </w:pPr>
      <w:bookmarkStart w:id="7" w:name="_Toc137714787"/>
      <w:r>
        <w:t>Practical Considerations</w:t>
      </w:r>
      <w:bookmarkEnd w:id="7"/>
    </w:p>
    <w:p w14:paraId="3BF9166B" w14:textId="1F3C7026" w:rsidR="00EE03B2" w:rsidRDefault="005E5542" w:rsidP="005E5542">
      <w:pPr>
        <w:jc w:val="both"/>
        <w:rPr>
          <w:sz w:val="24"/>
          <w:szCs w:val="24"/>
        </w:rPr>
      </w:pPr>
      <w:r w:rsidRPr="005E5542">
        <w:rPr>
          <w:sz w:val="24"/>
          <w:szCs w:val="24"/>
        </w:rPr>
        <w:t>Now that we have considered the HNDA, the MATHLR, and our polic</w:t>
      </w:r>
      <w:r w:rsidR="00A8771E">
        <w:rPr>
          <w:sz w:val="24"/>
          <w:szCs w:val="24"/>
        </w:rPr>
        <w:t>y</w:t>
      </w:r>
      <w:r w:rsidRPr="005E5542">
        <w:rPr>
          <w:sz w:val="24"/>
          <w:szCs w:val="24"/>
        </w:rPr>
        <w:t xml:space="preserve"> </w:t>
      </w:r>
      <w:r w:rsidR="00A8771E">
        <w:rPr>
          <w:sz w:val="24"/>
          <w:szCs w:val="24"/>
        </w:rPr>
        <w:t xml:space="preserve">focus </w:t>
      </w:r>
      <w:r w:rsidRPr="005E5542">
        <w:rPr>
          <w:sz w:val="24"/>
          <w:szCs w:val="24"/>
        </w:rPr>
        <w:t>that relate</w:t>
      </w:r>
      <w:r w:rsidR="00A8771E">
        <w:rPr>
          <w:sz w:val="24"/>
          <w:szCs w:val="24"/>
        </w:rPr>
        <w:t>s</w:t>
      </w:r>
      <w:r w:rsidRPr="005E5542">
        <w:rPr>
          <w:sz w:val="24"/>
          <w:szCs w:val="24"/>
        </w:rPr>
        <w:t xml:space="preserve"> to growing our housing supply to meet repopulation objectives, we need to consider the practical opportunities and challenges that may bear upon the delivery of these objectives. </w:t>
      </w:r>
    </w:p>
    <w:p w14:paraId="0D378308" w14:textId="77777777" w:rsidR="00955EFC" w:rsidRDefault="00955EFC" w:rsidP="005E5542">
      <w:pPr>
        <w:jc w:val="both"/>
        <w:rPr>
          <w:sz w:val="24"/>
          <w:szCs w:val="24"/>
        </w:rPr>
      </w:pPr>
    </w:p>
    <w:p w14:paraId="5CABA6CA" w14:textId="5DDDE14F" w:rsidR="005E5542" w:rsidRPr="005E5542" w:rsidRDefault="005E5542" w:rsidP="002D1454">
      <w:pPr>
        <w:spacing w:after="240"/>
        <w:jc w:val="both"/>
        <w:rPr>
          <w:sz w:val="24"/>
          <w:szCs w:val="24"/>
        </w:rPr>
      </w:pPr>
      <w:r w:rsidRPr="005E5542">
        <w:rPr>
          <w:sz w:val="24"/>
          <w:szCs w:val="24"/>
        </w:rPr>
        <w:t>The first step is to set the baseline before moving onto the tests. The tests themselves will be evaluated as whether they should be factored as a plus</w:t>
      </w:r>
      <w:r w:rsidR="00683D0E">
        <w:rPr>
          <w:sz w:val="24"/>
          <w:szCs w:val="24"/>
        </w:rPr>
        <w:t>,</w:t>
      </w:r>
      <w:r w:rsidRPr="005E5542">
        <w:rPr>
          <w:sz w:val="24"/>
          <w:szCs w:val="24"/>
        </w:rPr>
        <w:t xml:space="preserve"> minus</w:t>
      </w:r>
      <w:r w:rsidR="00683D0E">
        <w:rPr>
          <w:sz w:val="24"/>
          <w:szCs w:val="24"/>
        </w:rPr>
        <w:t xml:space="preserve">, or no change, </w:t>
      </w:r>
      <w:r w:rsidRPr="005E5542">
        <w:rPr>
          <w:sz w:val="24"/>
          <w:szCs w:val="24"/>
        </w:rPr>
        <w:t>over our baseline. Once these tests have been applied</w:t>
      </w:r>
      <w:r w:rsidR="00683D0E">
        <w:rPr>
          <w:sz w:val="24"/>
          <w:szCs w:val="24"/>
        </w:rPr>
        <w:t xml:space="preserve"> </w:t>
      </w:r>
      <w:r w:rsidR="00EE03B2">
        <w:rPr>
          <w:sz w:val="24"/>
          <w:szCs w:val="24"/>
        </w:rPr>
        <w:t>to</w:t>
      </w:r>
      <w:r w:rsidR="00683D0E">
        <w:rPr>
          <w:sz w:val="24"/>
          <w:szCs w:val="24"/>
        </w:rPr>
        <w:t xml:space="preserve"> the baseline</w:t>
      </w:r>
      <w:r w:rsidRPr="005E5542">
        <w:rPr>
          <w:sz w:val="24"/>
          <w:szCs w:val="24"/>
        </w:rPr>
        <w:t xml:space="preserve">, the housing supply target for the next decade shall be set. </w:t>
      </w:r>
    </w:p>
    <w:p w14:paraId="0525A4F9" w14:textId="4691ABF8" w:rsidR="00F80727" w:rsidRDefault="00F80727" w:rsidP="005E5542">
      <w:pPr>
        <w:pStyle w:val="Heading2"/>
        <w:jc w:val="both"/>
        <w:rPr>
          <w:rStyle w:val="Heading3Char"/>
          <w:color w:val="2F5496" w:themeColor="accent1" w:themeShade="BF"/>
          <w:sz w:val="26"/>
          <w:szCs w:val="26"/>
        </w:rPr>
      </w:pPr>
      <w:bookmarkStart w:id="8" w:name="_Toc137714788"/>
      <w:r>
        <w:rPr>
          <w:rStyle w:val="Heading3Char"/>
          <w:color w:val="2F5496" w:themeColor="accent1" w:themeShade="BF"/>
          <w:sz w:val="26"/>
          <w:szCs w:val="26"/>
        </w:rPr>
        <w:t>Setting the baseline</w:t>
      </w:r>
      <w:bookmarkEnd w:id="8"/>
      <w:r>
        <w:rPr>
          <w:rStyle w:val="Heading3Char"/>
          <w:color w:val="2F5496" w:themeColor="accent1" w:themeShade="BF"/>
          <w:sz w:val="26"/>
          <w:szCs w:val="26"/>
        </w:rPr>
        <w:t xml:space="preserve"> </w:t>
      </w:r>
    </w:p>
    <w:p w14:paraId="571BB9F5" w14:textId="686A53DF" w:rsidR="00EE03B2" w:rsidRDefault="006E7AEE" w:rsidP="005E5542">
      <w:pPr>
        <w:jc w:val="both"/>
        <w:rPr>
          <w:sz w:val="24"/>
          <w:szCs w:val="24"/>
        </w:rPr>
      </w:pPr>
      <w:r w:rsidRPr="006E7AEE">
        <w:rPr>
          <w:sz w:val="24"/>
          <w:szCs w:val="24"/>
        </w:rPr>
        <w:t xml:space="preserve">The </w:t>
      </w:r>
      <w:r w:rsidR="001B02CB">
        <w:rPr>
          <w:sz w:val="24"/>
          <w:szCs w:val="24"/>
        </w:rPr>
        <w:t>HST</w:t>
      </w:r>
      <w:r w:rsidRPr="006E7AEE">
        <w:rPr>
          <w:sz w:val="24"/>
          <w:szCs w:val="24"/>
        </w:rPr>
        <w:t xml:space="preserve"> for Inverclyde set for the duration of the previous LHS (</w:t>
      </w:r>
      <w:r w:rsidR="001B02CB" w:rsidRPr="006E7AEE">
        <w:rPr>
          <w:sz w:val="24"/>
          <w:szCs w:val="24"/>
        </w:rPr>
        <w:t>201</w:t>
      </w:r>
      <w:r w:rsidR="001B02CB">
        <w:rPr>
          <w:sz w:val="24"/>
          <w:szCs w:val="24"/>
        </w:rPr>
        <w:t>7</w:t>
      </w:r>
      <w:r w:rsidRPr="006E7AEE">
        <w:rPr>
          <w:sz w:val="24"/>
          <w:szCs w:val="24"/>
        </w:rPr>
        <w:t xml:space="preserve">-22) was for 1300 over five years; or 260 per annum. Analysis of housing completions for this period showed that housing delivery </w:t>
      </w:r>
      <w:r>
        <w:rPr>
          <w:sz w:val="24"/>
          <w:szCs w:val="24"/>
        </w:rPr>
        <w:t xml:space="preserve">has </w:t>
      </w:r>
      <w:r w:rsidRPr="006E7AEE">
        <w:rPr>
          <w:sz w:val="24"/>
          <w:szCs w:val="24"/>
        </w:rPr>
        <w:t xml:space="preserve">not kept abreast of Housing Supply Targets. On average, 148 housing completions have been delivered against an annual target of 260 units. </w:t>
      </w:r>
    </w:p>
    <w:p w14:paraId="3D96C23B" w14:textId="77777777" w:rsidR="00EE03B2" w:rsidRDefault="00EE03B2" w:rsidP="005E5542">
      <w:pPr>
        <w:jc w:val="both"/>
        <w:rPr>
          <w:sz w:val="24"/>
          <w:szCs w:val="24"/>
        </w:rPr>
      </w:pPr>
    </w:p>
    <w:p w14:paraId="4451C11C" w14:textId="3C74622D" w:rsidR="00EE03B2" w:rsidRDefault="006E7AEE" w:rsidP="005E5542">
      <w:pPr>
        <w:jc w:val="both"/>
        <w:rPr>
          <w:sz w:val="24"/>
          <w:szCs w:val="24"/>
        </w:rPr>
      </w:pPr>
      <w:r>
        <w:rPr>
          <w:sz w:val="24"/>
          <w:szCs w:val="24"/>
        </w:rPr>
        <w:t xml:space="preserve">However, whilst this divergence is </w:t>
      </w:r>
      <w:r w:rsidR="00EE03B2">
        <w:rPr>
          <w:sz w:val="24"/>
          <w:szCs w:val="24"/>
        </w:rPr>
        <w:t>explicable</w:t>
      </w:r>
      <w:r>
        <w:rPr>
          <w:sz w:val="24"/>
          <w:szCs w:val="24"/>
        </w:rPr>
        <w:t xml:space="preserve"> through the impacts of exogenous political and economic events, such as Brexit, </w:t>
      </w:r>
      <w:r w:rsidR="00C87A67">
        <w:rPr>
          <w:sz w:val="24"/>
          <w:szCs w:val="24"/>
        </w:rPr>
        <w:t xml:space="preserve">the </w:t>
      </w:r>
      <w:r>
        <w:rPr>
          <w:sz w:val="24"/>
          <w:szCs w:val="24"/>
        </w:rPr>
        <w:t>Covid</w:t>
      </w:r>
      <w:r w:rsidR="00C87A67">
        <w:rPr>
          <w:sz w:val="24"/>
          <w:szCs w:val="24"/>
        </w:rPr>
        <w:t>-19 pandemic</w:t>
      </w:r>
      <w:r>
        <w:rPr>
          <w:sz w:val="24"/>
          <w:szCs w:val="24"/>
        </w:rPr>
        <w:t xml:space="preserve"> and the Cost-of-Living Crisis; the numbers completed have informed the generation of MATHLR.</w:t>
      </w:r>
      <w:r w:rsidR="00EE03B2">
        <w:rPr>
          <w:sz w:val="24"/>
          <w:szCs w:val="24"/>
        </w:rPr>
        <w:t xml:space="preserve"> In contrast to the average annual completions of 148, the MATHLR stands at 150 per annum for the decade, a total number of 1500. </w:t>
      </w:r>
    </w:p>
    <w:p w14:paraId="288D62E6" w14:textId="77777777" w:rsidR="00EE03B2" w:rsidRDefault="00EE03B2" w:rsidP="005E5542">
      <w:pPr>
        <w:jc w:val="both"/>
        <w:rPr>
          <w:sz w:val="24"/>
          <w:szCs w:val="24"/>
        </w:rPr>
      </w:pPr>
    </w:p>
    <w:p w14:paraId="75E060B0" w14:textId="52207B96" w:rsidR="00EE03B2" w:rsidRDefault="00F80727" w:rsidP="005E5542">
      <w:pPr>
        <w:jc w:val="both"/>
        <w:rPr>
          <w:sz w:val="24"/>
          <w:szCs w:val="24"/>
        </w:rPr>
      </w:pPr>
      <w:r w:rsidRPr="005E5542">
        <w:rPr>
          <w:sz w:val="24"/>
          <w:szCs w:val="24"/>
        </w:rPr>
        <w:t>Since</w:t>
      </w:r>
      <w:r w:rsidR="00683D0E">
        <w:rPr>
          <w:sz w:val="24"/>
          <w:szCs w:val="24"/>
        </w:rPr>
        <w:t xml:space="preserve"> </w:t>
      </w:r>
      <w:r w:rsidR="00EE03B2">
        <w:rPr>
          <w:sz w:val="24"/>
          <w:szCs w:val="24"/>
        </w:rPr>
        <w:t>previous completions are almost the same as the MATHLR</w:t>
      </w:r>
      <w:r w:rsidR="00C87A67">
        <w:rPr>
          <w:sz w:val="24"/>
          <w:szCs w:val="24"/>
        </w:rPr>
        <w:t>;</w:t>
      </w:r>
      <w:r w:rsidR="00EE03B2">
        <w:rPr>
          <w:sz w:val="24"/>
          <w:szCs w:val="24"/>
        </w:rPr>
        <w:t xml:space="preserve"> but are nevertheless below the MATHLR by a factor of 2 housing units per </w:t>
      </w:r>
      <w:r w:rsidR="00C87A67">
        <w:rPr>
          <w:sz w:val="24"/>
          <w:szCs w:val="24"/>
        </w:rPr>
        <w:t>annum</w:t>
      </w:r>
      <w:r w:rsidR="00A8771E">
        <w:rPr>
          <w:sz w:val="24"/>
          <w:szCs w:val="24"/>
        </w:rPr>
        <w:t>;</w:t>
      </w:r>
      <w:r w:rsidR="00C87A67">
        <w:rPr>
          <w:sz w:val="24"/>
          <w:szCs w:val="24"/>
        </w:rPr>
        <w:t xml:space="preserve"> </w:t>
      </w:r>
      <w:r w:rsidR="00A8771E">
        <w:rPr>
          <w:sz w:val="24"/>
          <w:szCs w:val="24"/>
        </w:rPr>
        <w:t>and,</w:t>
      </w:r>
      <w:r w:rsidR="00C87A67">
        <w:rPr>
          <w:sz w:val="24"/>
          <w:szCs w:val="24"/>
        </w:rPr>
        <w:t xml:space="preserve"> since </w:t>
      </w:r>
      <w:r w:rsidR="00EE03B2">
        <w:rPr>
          <w:sz w:val="24"/>
          <w:szCs w:val="24"/>
        </w:rPr>
        <w:t>this section is calculating a</w:t>
      </w:r>
      <w:r w:rsidRPr="005E5542">
        <w:rPr>
          <w:sz w:val="24"/>
          <w:szCs w:val="24"/>
        </w:rPr>
        <w:t xml:space="preserve"> </w:t>
      </w:r>
      <w:r w:rsidR="00C87A67" w:rsidRPr="00EE03B2">
        <w:rPr>
          <w:i/>
          <w:iCs/>
          <w:sz w:val="24"/>
          <w:szCs w:val="24"/>
        </w:rPr>
        <w:t>baseline,</w:t>
      </w:r>
      <w:r w:rsidR="00EE03B2">
        <w:rPr>
          <w:sz w:val="24"/>
          <w:szCs w:val="24"/>
        </w:rPr>
        <w:t xml:space="preserve"> the number established should be </w:t>
      </w:r>
      <w:r w:rsidRPr="005E5542">
        <w:rPr>
          <w:sz w:val="24"/>
          <w:szCs w:val="24"/>
        </w:rPr>
        <w:t>below the MATHLR.</w:t>
      </w:r>
      <w:r w:rsidR="00C87A67">
        <w:rPr>
          <w:sz w:val="24"/>
          <w:szCs w:val="24"/>
        </w:rPr>
        <w:t xml:space="preserve"> At the same time h</w:t>
      </w:r>
      <w:r w:rsidR="005E5542" w:rsidRPr="005E5542">
        <w:rPr>
          <w:sz w:val="24"/>
          <w:szCs w:val="24"/>
        </w:rPr>
        <w:t>owever,</w:t>
      </w:r>
      <w:r w:rsidRPr="005E5542">
        <w:rPr>
          <w:sz w:val="24"/>
          <w:szCs w:val="24"/>
        </w:rPr>
        <w:t xml:space="preserve"> as </w:t>
      </w:r>
      <w:r w:rsidR="00EE03B2">
        <w:rPr>
          <w:sz w:val="24"/>
          <w:szCs w:val="24"/>
        </w:rPr>
        <w:t xml:space="preserve">completions </w:t>
      </w:r>
      <w:r w:rsidR="00683D0E">
        <w:rPr>
          <w:sz w:val="24"/>
          <w:szCs w:val="24"/>
        </w:rPr>
        <w:t xml:space="preserve">far exceed what is established in HNDA2 and </w:t>
      </w:r>
      <w:r w:rsidR="00EE03B2">
        <w:rPr>
          <w:sz w:val="24"/>
          <w:szCs w:val="24"/>
        </w:rPr>
        <w:t xml:space="preserve">what </w:t>
      </w:r>
      <w:r w:rsidR="00C87A67">
        <w:rPr>
          <w:sz w:val="24"/>
          <w:szCs w:val="24"/>
        </w:rPr>
        <w:t>are</w:t>
      </w:r>
      <w:r w:rsidR="00EE03B2">
        <w:rPr>
          <w:sz w:val="24"/>
          <w:szCs w:val="24"/>
        </w:rPr>
        <w:t xml:space="preserve"> set </w:t>
      </w:r>
      <w:r w:rsidR="00C87A67">
        <w:rPr>
          <w:sz w:val="24"/>
          <w:szCs w:val="24"/>
        </w:rPr>
        <w:t xml:space="preserve">as projections in the </w:t>
      </w:r>
      <w:r w:rsidR="00EE03B2">
        <w:rPr>
          <w:sz w:val="24"/>
          <w:szCs w:val="24"/>
        </w:rPr>
        <w:t xml:space="preserve">current </w:t>
      </w:r>
      <w:r w:rsidR="00683D0E">
        <w:rPr>
          <w:sz w:val="24"/>
          <w:szCs w:val="24"/>
        </w:rPr>
        <w:t>HNDA3</w:t>
      </w:r>
      <w:r w:rsidR="00C87A67">
        <w:rPr>
          <w:sz w:val="24"/>
          <w:szCs w:val="24"/>
        </w:rPr>
        <w:t>,</w:t>
      </w:r>
      <w:r w:rsidR="00683D0E">
        <w:rPr>
          <w:sz w:val="24"/>
          <w:szCs w:val="24"/>
        </w:rPr>
        <w:t xml:space="preserve"> </w:t>
      </w:r>
      <w:r w:rsidRPr="005E5542">
        <w:rPr>
          <w:sz w:val="24"/>
          <w:szCs w:val="24"/>
        </w:rPr>
        <w:t xml:space="preserve">they should </w:t>
      </w:r>
      <w:r w:rsidR="00683D0E">
        <w:rPr>
          <w:sz w:val="24"/>
          <w:szCs w:val="24"/>
        </w:rPr>
        <w:t xml:space="preserve">exceed the levels set within the current </w:t>
      </w:r>
      <w:r w:rsidRPr="005E5542">
        <w:rPr>
          <w:sz w:val="24"/>
          <w:szCs w:val="24"/>
        </w:rPr>
        <w:t>HND</w:t>
      </w:r>
      <w:r w:rsidR="00683D0E">
        <w:rPr>
          <w:sz w:val="24"/>
          <w:szCs w:val="24"/>
        </w:rPr>
        <w:t xml:space="preserve">A3. </w:t>
      </w:r>
    </w:p>
    <w:p w14:paraId="255ACEDD" w14:textId="49933E3F" w:rsidR="00EE03B2" w:rsidRDefault="00117F9F" w:rsidP="00117F9F">
      <w:pPr>
        <w:tabs>
          <w:tab w:val="left" w:pos="1660"/>
        </w:tabs>
        <w:jc w:val="both"/>
        <w:rPr>
          <w:sz w:val="24"/>
          <w:szCs w:val="24"/>
        </w:rPr>
      </w:pPr>
      <w:r>
        <w:rPr>
          <w:sz w:val="24"/>
          <w:szCs w:val="24"/>
        </w:rPr>
        <w:tab/>
      </w:r>
    </w:p>
    <w:p w14:paraId="2C1C3130" w14:textId="196C46D8" w:rsidR="00F80727" w:rsidRDefault="00EE03B2" w:rsidP="005E5542">
      <w:pPr>
        <w:jc w:val="both"/>
        <w:rPr>
          <w:sz w:val="24"/>
          <w:szCs w:val="24"/>
        </w:rPr>
      </w:pPr>
      <w:r>
        <w:rPr>
          <w:sz w:val="24"/>
          <w:szCs w:val="24"/>
        </w:rPr>
        <w:t>Therefore, b</w:t>
      </w:r>
      <w:r w:rsidR="00683D0E">
        <w:rPr>
          <w:sz w:val="24"/>
          <w:szCs w:val="24"/>
        </w:rPr>
        <w:t xml:space="preserve">ased on the closeness of MATHLR to the level of completions, and in relation to the much-diminished HNDA3, a fair judgment for the baseline </w:t>
      </w:r>
      <w:r>
        <w:rPr>
          <w:sz w:val="24"/>
          <w:szCs w:val="24"/>
        </w:rPr>
        <w:t xml:space="preserve">would be </w:t>
      </w:r>
      <w:r w:rsidR="00683D0E">
        <w:rPr>
          <w:sz w:val="24"/>
          <w:szCs w:val="24"/>
        </w:rPr>
        <w:t xml:space="preserve">to deduct </w:t>
      </w:r>
      <w:r w:rsidR="00F80727" w:rsidRPr="005E5542">
        <w:rPr>
          <w:sz w:val="24"/>
          <w:szCs w:val="24"/>
        </w:rPr>
        <w:t xml:space="preserve">25% off the MATHLR </w:t>
      </w:r>
      <w:r>
        <w:rPr>
          <w:sz w:val="24"/>
          <w:szCs w:val="24"/>
        </w:rPr>
        <w:t xml:space="preserve">to calculate the </w:t>
      </w:r>
      <w:r w:rsidR="00F80727" w:rsidRPr="005E5542">
        <w:rPr>
          <w:sz w:val="24"/>
          <w:szCs w:val="24"/>
        </w:rPr>
        <w:t xml:space="preserve">baseline. </w:t>
      </w:r>
      <w:r w:rsidR="00F80727" w:rsidRPr="00603574">
        <w:rPr>
          <w:b/>
          <w:bCs/>
          <w:sz w:val="24"/>
          <w:szCs w:val="24"/>
        </w:rPr>
        <w:t>Th</w:t>
      </w:r>
      <w:r w:rsidRPr="00603574">
        <w:rPr>
          <w:b/>
          <w:bCs/>
          <w:sz w:val="24"/>
          <w:szCs w:val="24"/>
        </w:rPr>
        <w:t xml:space="preserve">e baseline set here </w:t>
      </w:r>
      <w:r w:rsidR="00F80727" w:rsidRPr="00603574">
        <w:rPr>
          <w:b/>
          <w:bCs/>
          <w:sz w:val="24"/>
          <w:szCs w:val="24"/>
        </w:rPr>
        <w:t xml:space="preserve">is therefore 1125 over the </w:t>
      </w:r>
      <w:r w:rsidR="00683D0E" w:rsidRPr="00603574">
        <w:rPr>
          <w:b/>
          <w:bCs/>
          <w:sz w:val="24"/>
          <w:szCs w:val="24"/>
        </w:rPr>
        <w:t>same ten-year</w:t>
      </w:r>
      <w:r w:rsidR="00F80727" w:rsidRPr="00603574">
        <w:rPr>
          <w:b/>
          <w:bCs/>
          <w:sz w:val="24"/>
          <w:szCs w:val="24"/>
        </w:rPr>
        <w:t xml:space="preserve"> period</w:t>
      </w:r>
      <w:r w:rsidRPr="00603574">
        <w:rPr>
          <w:b/>
          <w:bCs/>
          <w:sz w:val="24"/>
          <w:szCs w:val="24"/>
        </w:rPr>
        <w:t xml:space="preserve"> as the MATHLR</w:t>
      </w:r>
      <w:r w:rsidR="00F80727" w:rsidRPr="00603574">
        <w:rPr>
          <w:b/>
          <w:bCs/>
          <w:sz w:val="24"/>
          <w:szCs w:val="24"/>
        </w:rPr>
        <w:t xml:space="preserve">; or </w:t>
      </w:r>
      <w:r w:rsidR="005E5542" w:rsidRPr="00603574">
        <w:rPr>
          <w:b/>
          <w:bCs/>
          <w:sz w:val="24"/>
          <w:szCs w:val="24"/>
        </w:rPr>
        <w:t>112.5 units</w:t>
      </w:r>
      <w:r w:rsidR="00F80727" w:rsidRPr="00603574">
        <w:rPr>
          <w:b/>
          <w:bCs/>
          <w:sz w:val="24"/>
          <w:szCs w:val="24"/>
        </w:rPr>
        <w:t xml:space="preserve"> per year.</w:t>
      </w:r>
      <w:r w:rsidR="00F80727" w:rsidRPr="005E5542">
        <w:rPr>
          <w:sz w:val="24"/>
          <w:szCs w:val="24"/>
        </w:rPr>
        <w:t xml:space="preserve"> </w:t>
      </w:r>
    </w:p>
    <w:p w14:paraId="14F3B94D" w14:textId="77777777" w:rsidR="005A6607" w:rsidRDefault="005A6607" w:rsidP="005E5542">
      <w:pPr>
        <w:jc w:val="both"/>
        <w:rPr>
          <w:sz w:val="24"/>
          <w:szCs w:val="24"/>
        </w:rPr>
      </w:pPr>
    </w:p>
    <w:p w14:paraId="120B42FB" w14:textId="5BE45DD5" w:rsidR="007B0D6C" w:rsidRDefault="007B0D6C" w:rsidP="005E5542">
      <w:pPr>
        <w:pStyle w:val="Heading2"/>
        <w:jc w:val="both"/>
        <w:rPr>
          <w:rStyle w:val="Heading3Char"/>
          <w:color w:val="2F5496" w:themeColor="accent1" w:themeShade="BF"/>
          <w:sz w:val="26"/>
          <w:szCs w:val="26"/>
        </w:rPr>
      </w:pPr>
      <w:bookmarkStart w:id="9" w:name="_Toc137714789"/>
      <w:r w:rsidRPr="0021048E">
        <w:rPr>
          <w:rStyle w:val="Heading3Char"/>
          <w:color w:val="2F5496" w:themeColor="accent1" w:themeShade="BF"/>
          <w:sz w:val="26"/>
          <w:szCs w:val="26"/>
        </w:rPr>
        <w:t>Economic issues that affect supply and demand</w:t>
      </w:r>
      <w:bookmarkEnd w:id="9"/>
    </w:p>
    <w:p w14:paraId="62F0AE36" w14:textId="45CAC959" w:rsidR="00666965" w:rsidRPr="007E77AB" w:rsidRDefault="00666965" w:rsidP="00666965">
      <w:pPr>
        <w:jc w:val="both"/>
        <w:rPr>
          <w:sz w:val="24"/>
          <w:szCs w:val="24"/>
        </w:rPr>
      </w:pPr>
      <w:r>
        <w:t>T</w:t>
      </w:r>
      <w:r w:rsidRPr="007E77AB">
        <w:rPr>
          <w:sz w:val="24"/>
          <w:szCs w:val="24"/>
        </w:rPr>
        <w:t>hroughout the duration of the last LHS (2017-2022) there have been a number of shocks to the economy, including Brexit, Covid-19 pandemic, and the inflation beset ‘</w:t>
      </w:r>
      <w:r w:rsidR="004350BA">
        <w:rPr>
          <w:sz w:val="24"/>
          <w:szCs w:val="24"/>
        </w:rPr>
        <w:t>C</w:t>
      </w:r>
      <w:r w:rsidRPr="007E77AB">
        <w:rPr>
          <w:sz w:val="24"/>
          <w:szCs w:val="24"/>
        </w:rPr>
        <w:t>ost</w:t>
      </w:r>
      <w:r w:rsidR="004350BA">
        <w:rPr>
          <w:sz w:val="24"/>
          <w:szCs w:val="24"/>
        </w:rPr>
        <w:t>-</w:t>
      </w:r>
      <w:r w:rsidRPr="007E77AB">
        <w:rPr>
          <w:sz w:val="24"/>
          <w:szCs w:val="24"/>
        </w:rPr>
        <w:t>of</w:t>
      </w:r>
      <w:r w:rsidR="004350BA">
        <w:rPr>
          <w:sz w:val="24"/>
          <w:szCs w:val="24"/>
        </w:rPr>
        <w:t>-L</w:t>
      </w:r>
      <w:r w:rsidRPr="007E77AB">
        <w:rPr>
          <w:sz w:val="24"/>
          <w:szCs w:val="24"/>
        </w:rPr>
        <w:t>iving</w:t>
      </w:r>
      <w:r w:rsidR="004350BA">
        <w:rPr>
          <w:sz w:val="24"/>
          <w:szCs w:val="24"/>
        </w:rPr>
        <w:t>-C</w:t>
      </w:r>
      <w:r w:rsidRPr="007E77AB">
        <w:rPr>
          <w:sz w:val="24"/>
          <w:szCs w:val="24"/>
        </w:rPr>
        <w:t>risis</w:t>
      </w:r>
      <w:r w:rsidR="004350BA">
        <w:rPr>
          <w:sz w:val="24"/>
          <w:szCs w:val="24"/>
        </w:rPr>
        <w:t>’</w:t>
      </w:r>
      <w:r w:rsidRPr="007E77AB">
        <w:rPr>
          <w:sz w:val="24"/>
          <w:szCs w:val="24"/>
        </w:rPr>
        <w:t xml:space="preserve"> brought on through the</w:t>
      </w:r>
      <w:r w:rsidR="00926537">
        <w:rPr>
          <w:sz w:val="24"/>
          <w:szCs w:val="24"/>
        </w:rPr>
        <w:t xml:space="preserve"> war in</w:t>
      </w:r>
      <w:r w:rsidRPr="007E77AB">
        <w:rPr>
          <w:sz w:val="24"/>
          <w:szCs w:val="24"/>
        </w:rPr>
        <w:t xml:space="preserve"> Ukraine and wider supply shocks across the global economy. </w:t>
      </w:r>
    </w:p>
    <w:p w14:paraId="2ABFFEFE" w14:textId="77777777" w:rsidR="00666965" w:rsidRPr="007E77AB" w:rsidRDefault="00666965" w:rsidP="00666965">
      <w:pPr>
        <w:jc w:val="both"/>
        <w:rPr>
          <w:sz w:val="24"/>
          <w:szCs w:val="24"/>
        </w:rPr>
      </w:pPr>
    </w:p>
    <w:p w14:paraId="571CA455" w14:textId="4DEF6634" w:rsidR="00666965" w:rsidRPr="007E77AB" w:rsidRDefault="00666965" w:rsidP="005E5542">
      <w:pPr>
        <w:jc w:val="both"/>
        <w:rPr>
          <w:rFonts w:eastAsia="Times New Roman"/>
          <w:sz w:val="24"/>
          <w:szCs w:val="24"/>
        </w:rPr>
      </w:pPr>
      <w:r w:rsidRPr="007E77AB">
        <w:rPr>
          <w:rFonts w:eastAsia="Times New Roman"/>
          <w:sz w:val="24"/>
          <w:szCs w:val="24"/>
        </w:rPr>
        <w:t>In forecasting the economic climate at the UK national level into 2024, KPMG report that despite the likelihood of a recession</w:t>
      </w:r>
      <w:r w:rsidR="00926537">
        <w:rPr>
          <w:rFonts w:eastAsia="Times New Roman"/>
          <w:sz w:val="24"/>
          <w:szCs w:val="24"/>
        </w:rPr>
        <w:t xml:space="preserve">, </w:t>
      </w:r>
      <w:r w:rsidRPr="007E77AB">
        <w:rPr>
          <w:rFonts w:eastAsia="Times New Roman"/>
          <w:sz w:val="24"/>
          <w:szCs w:val="24"/>
        </w:rPr>
        <w:t xml:space="preserve">growth is likely to remain weak to 2024. There are structural issues in the economy including skills shortages, slowing workforce participation, and population ageing which will continue to bear down on the economy. </w:t>
      </w:r>
    </w:p>
    <w:p w14:paraId="268AC38B" w14:textId="77777777" w:rsidR="00666965" w:rsidRPr="007E77AB" w:rsidRDefault="00666965" w:rsidP="005E5542">
      <w:pPr>
        <w:jc w:val="both"/>
        <w:rPr>
          <w:rFonts w:eastAsia="Times New Roman"/>
          <w:sz w:val="24"/>
          <w:szCs w:val="24"/>
        </w:rPr>
      </w:pPr>
    </w:p>
    <w:p w14:paraId="4C3DAE07" w14:textId="70520A13" w:rsidR="00407743" w:rsidRPr="00407743" w:rsidRDefault="00666965" w:rsidP="005E5542">
      <w:pPr>
        <w:jc w:val="both"/>
        <w:rPr>
          <w:sz w:val="24"/>
          <w:szCs w:val="24"/>
        </w:rPr>
      </w:pPr>
      <w:r w:rsidRPr="007E77AB">
        <w:rPr>
          <w:rFonts w:eastAsia="Times New Roman"/>
          <w:sz w:val="24"/>
          <w:szCs w:val="24"/>
        </w:rPr>
        <w:t>In terms of how these structural issues affect the conditions that impact the potential for house building programmes in Inverclyde</w:t>
      </w:r>
      <w:r w:rsidR="001B02CB">
        <w:rPr>
          <w:rFonts w:eastAsia="Times New Roman"/>
          <w:sz w:val="24"/>
          <w:szCs w:val="24"/>
        </w:rPr>
        <w:t>,</w:t>
      </w:r>
      <w:r w:rsidRPr="007E77AB">
        <w:rPr>
          <w:rFonts w:eastAsia="Times New Roman"/>
          <w:sz w:val="24"/>
          <w:szCs w:val="24"/>
        </w:rPr>
        <w:t xml:space="preserve"> the </w:t>
      </w:r>
      <w:r w:rsidR="007B0D6C" w:rsidRPr="007E77AB">
        <w:rPr>
          <w:rFonts w:eastAsia="Times New Roman"/>
          <w:sz w:val="24"/>
          <w:szCs w:val="24"/>
        </w:rPr>
        <w:t xml:space="preserve">Royal Institute of Chartered Surveyors (RICS) </w:t>
      </w:r>
      <w:r w:rsidRPr="007E77AB">
        <w:rPr>
          <w:rFonts w:eastAsia="Times New Roman"/>
          <w:sz w:val="24"/>
          <w:szCs w:val="24"/>
        </w:rPr>
        <w:t>and</w:t>
      </w:r>
      <w:r w:rsidR="007B0D6C" w:rsidRPr="007E77AB">
        <w:rPr>
          <w:rFonts w:eastAsia="Times New Roman"/>
          <w:sz w:val="24"/>
          <w:szCs w:val="24"/>
        </w:rPr>
        <w:t xml:space="preserve"> the Chartered Institute of Building (CIOB)</w:t>
      </w:r>
      <w:r w:rsidRPr="007E77AB">
        <w:rPr>
          <w:rFonts w:eastAsia="Times New Roman"/>
          <w:sz w:val="24"/>
          <w:szCs w:val="24"/>
        </w:rPr>
        <w:t xml:space="preserve"> have noted general supply issues in the construction industry including increased cost of building materials and labour supply issues. </w:t>
      </w:r>
      <w:r w:rsidR="007B0D6C" w:rsidRPr="007E77AB">
        <w:rPr>
          <w:rFonts w:eastAsia="Times New Roman"/>
          <w:sz w:val="24"/>
          <w:szCs w:val="24"/>
        </w:rPr>
        <w:t xml:space="preserve"> </w:t>
      </w:r>
      <w:r w:rsidRPr="007E77AB">
        <w:rPr>
          <w:sz w:val="24"/>
          <w:szCs w:val="24"/>
        </w:rPr>
        <w:t>T</w:t>
      </w:r>
      <w:r w:rsidR="007B0D6C" w:rsidRPr="007E77AB">
        <w:rPr>
          <w:sz w:val="24"/>
          <w:szCs w:val="24"/>
        </w:rPr>
        <w:t>he Chartered Institute of Personnel Development (CIPD) have presented a paper to the Scottish Government on labour shortages including those in construction.</w:t>
      </w:r>
      <w:r w:rsidR="007E77AB" w:rsidRPr="007E77AB">
        <w:rPr>
          <w:sz w:val="24"/>
          <w:szCs w:val="24"/>
        </w:rPr>
        <w:t xml:space="preserve"> </w:t>
      </w:r>
      <w:r w:rsidR="007E77AB">
        <w:rPr>
          <w:sz w:val="24"/>
          <w:szCs w:val="24"/>
        </w:rPr>
        <w:t>In that paper they note r</w:t>
      </w:r>
      <w:r w:rsidR="007E77AB" w:rsidRPr="007E77AB">
        <w:rPr>
          <w:sz w:val="24"/>
          <w:szCs w:val="24"/>
        </w:rPr>
        <w:t>ecent CIPD survey data, where just over a third (37%) of all construction companies with vacancies said they were</w:t>
      </w:r>
      <w:r w:rsidR="007E77AB">
        <w:rPr>
          <w:sz w:val="24"/>
          <w:szCs w:val="24"/>
        </w:rPr>
        <w:t xml:space="preserve"> </w:t>
      </w:r>
      <w:r w:rsidR="007E77AB" w:rsidRPr="007E77AB">
        <w:rPr>
          <w:sz w:val="24"/>
          <w:szCs w:val="24"/>
        </w:rPr>
        <w:t>experiencing recruitment difficulties.</w:t>
      </w:r>
      <w:r w:rsidR="00407743">
        <w:rPr>
          <w:sz w:val="24"/>
          <w:szCs w:val="24"/>
        </w:rPr>
        <w:t xml:space="preserve"> </w:t>
      </w:r>
      <w:r w:rsidRPr="007E77AB">
        <w:rPr>
          <w:rFonts w:eastAsia="Times New Roman"/>
          <w:sz w:val="24"/>
          <w:szCs w:val="24"/>
        </w:rPr>
        <w:t xml:space="preserve">Clearly then the prospects for extensive housing growth warranting large housing supply targets are limited by these supply issues. </w:t>
      </w:r>
    </w:p>
    <w:p w14:paraId="39DEAE5D" w14:textId="77777777" w:rsidR="00407743" w:rsidRDefault="00407743" w:rsidP="005E5542">
      <w:pPr>
        <w:jc w:val="both"/>
        <w:rPr>
          <w:rFonts w:eastAsia="Times New Roman"/>
          <w:sz w:val="24"/>
          <w:szCs w:val="24"/>
        </w:rPr>
      </w:pPr>
    </w:p>
    <w:p w14:paraId="530C437E" w14:textId="5BEB56AB" w:rsidR="00F70E65" w:rsidRPr="00F70E65" w:rsidRDefault="00666965" w:rsidP="00154F3D">
      <w:pPr>
        <w:jc w:val="both"/>
        <w:rPr>
          <w:rFonts w:eastAsia="Times New Roman"/>
          <w:sz w:val="24"/>
          <w:szCs w:val="24"/>
        </w:rPr>
      </w:pPr>
      <w:r w:rsidRPr="007E77AB">
        <w:rPr>
          <w:rFonts w:eastAsia="Times New Roman"/>
          <w:sz w:val="24"/>
          <w:szCs w:val="24"/>
        </w:rPr>
        <w:t>On the demand side,</w:t>
      </w:r>
      <w:r w:rsidR="009630FE" w:rsidRPr="007E77AB">
        <w:rPr>
          <w:rFonts w:eastAsia="Times New Roman"/>
          <w:sz w:val="24"/>
          <w:szCs w:val="24"/>
        </w:rPr>
        <w:t xml:space="preserve"> UK housing market demand has fallen significantly since interest rates began to rise in late 2022. This has mainly affected first-time buyers who are facing higher borrowing costs and economic uncertainty. Annual house price growth also slowed down from 7.6% in November 2020 to 4.5% in December 2022. Experts predict that the housing market will cool further in 2023 as the U</w:t>
      </w:r>
      <w:r w:rsidR="007E77AB" w:rsidRPr="007E77AB">
        <w:rPr>
          <w:rFonts w:eastAsia="Times New Roman"/>
          <w:sz w:val="24"/>
          <w:szCs w:val="24"/>
        </w:rPr>
        <w:t>nited Kingdom</w:t>
      </w:r>
      <w:r w:rsidR="009630FE" w:rsidRPr="007E77AB">
        <w:rPr>
          <w:rFonts w:eastAsia="Times New Roman"/>
          <w:sz w:val="24"/>
          <w:szCs w:val="24"/>
        </w:rPr>
        <w:t xml:space="preserve"> enters a recession and interest rates reach a peak of about 4.75%</w:t>
      </w:r>
      <w:r w:rsidR="007E77AB" w:rsidRPr="007E77AB">
        <w:rPr>
          <w:rFonts w:eastAsia="Times New Roman"/>
          <w:sz w:val="24"/>
          <w:szCs w:val="24"/>
        </w:rPr>
        <w:t xml:space="preserve">. </w:t>
      </w:r>
      <w:r w:rsidR="007E77AB">
        <w:rPr>
          <w:sz w:val="24"/>
          <w:szCs w:val="24"/>
        </w:rPr>
        <w:t>In summary</w:t>
      </w:r>
      <w:r w:rsidR="00407743">
        <w:rPr>
          <w:sz w:val="24"/>
          <w:szCs w:val="24"/>
        </w:rPr>
        <w:t>,</w:t>
      </w:r>
      <w:r w:rsidR="007E77AB">
        <w:rPr>
          <w:sz w:val="24"/>
          <w:szCs w:val="24"/>
        </w:rPr>
        <w:t xml:space="preserve"> the economic prospects at the macro-level that affects supply and demand in relation to housing supply targets are bleak. </w:t>
      </w:r>
    </w:p>
    <w:p w14:paraId="68ECB512" w14:textId="77777777" w:rsidR="00F70E65" w:rsidRDefault="00F70E65" w:rsidP="00154F3D">
      <w:pPr>
        <w:jc w:val="both"/>
        <w:rPr>
          <w:sz w:val="24"/>
          <w:szCs w:val="24"/>
        </w:rPr>
      </w:pPr>
    </w:p>
    <w:p w14:paraId="6F7D9A47" w14:textId="188607FA" w:rsidR="00154F3D" w:rsidRDefault="00154F3D" w:rsidP="00154F3D">
      <w:pPr>
        <w:jc w:val="both"/>
        <w:rPr>
          <w:sz w:val="24"/>
          <w:szCs w:val="24"/>
        </w:rPr>
      </w:pPr>
      <w:r>
        <w:rPr>
          <w:sz w:val="24"/>
          <w:szCs w:val="24"/>
        </w:rPr>
        <w:t>Nevertheless, Inverclyde Council and partners have just brought in an extensive regeneration and economic regeneration strategy designed to</w:t>
      </w:r>
      <w:r w:rsidRPr="00154F3D">
        <w:rPr>
          <w:sz w:val="24"/>
          <w:szCs w:val="24"/>
        </w:rPr>
        <w:t xml:space="preserve"> boost skill levels and reduce worklessness; to accelerate the regeneration of strategic employment sites and town centres; to progress the renewal and economic regeneration of</w:t>
      </w:r>
      <w:r>
        <w:rPr>
          <w:sz w:val="24"/>
          <w:szCs w:val="24"/>
        </w:rPr>
        <w:t xml:space="preserve"> </w:t>
      </w:r>
      <w:r w:rsidRPr="00154F3D">
        <w:rPr>
          <w:sz w:val="24"/>
          <w:szCs w:val="24"/>
        </w:rPr>
        <w:t>the most disadvantaged areas of Inverclyde; to increase Inverclyde’s capacity to accommodate jobs particularly in the private sector; and to grow and diversity the business base</w:t>
      </w:r>
      <w:r>
        <w:rPr>
          <w:sz w:val="24"/>
          <w:szCs w:val="24"/>
        </w:rPr>
        <w:t xml:space="preserve">. It is anticipated that these measures should temper the broader macro issues affecting supply and demand. </w:t>
      </w:r>
    </w:p>
    <w:p w14:paraId="1BE4307F" w14:textId="77777777" w:rsidR="00154F3D" w:rsidRDefault="00154F3D" w:rsidP="00154F3D">
      <w:pPr>
        <w:jc w:val="both"/>
        <w:rPr>
          <w:sz w:val="24"/>
          <w:szCs w:val="24"/>
        </w:rPr>
      </w:pPr>
    </w:p>
    <w:p w14:paraId="3870B31F" w14:textId="6322FACE" w:rsidR="007E77AB" w:rsidRPr="00603574" w:rsidRDefault="00154F3D" w:rsidP="002D1454">
      <w:pPr>
        <w:spacing w:after="240"/>
        <w:jc w:val="both"/>
        <w:rPr>
          <w:b/>
          <w:bCs/>
          <w:sz w:val="24"/>
          <w:szCs w:val="24"/>
        </w:rPr>
      </w:pPr>
      <w:r w:rsidRPr="00603574">
        <w:rPr>
          <w:b/>
          <w:bCs/>
          <w:sz w:val="24"/>
          <w:szCs w:val="24"/>
        </w:rPr>
        <w:t>Because both the macro-issues and Inverclyde</w:t>
      </w:r>
      <w:r w:rsidR="00F70E65" w:rsidRPr="00603574">
        <w:rPr>
          <w:b/>
          <w:bCs/>
          <w:sz w:val="24"/>
          <w:szCs w:val="24"/>
        </w:rPr>
        <w:t>’</w:t>
      </w:r>
      <w:r w:rsidRPr="00603574">
        <w:rPr>
          <w:b/>
          <w:bCs/>
          <w:sz w:val="24"/>
          <w:szCs w:val="24"/>
        </w:rPr>
        <w:t>s regeneration interventions</w:t>
      </w:r>
      <w:r w:rsidR="00F70E65" w:rsidRPr="00603574">
        <w:rPr>
          <w:b/>
          <w:bCs/>
          <w:sz w:val="24"/>
          <w:szCs w:val="24"/>
        </w:rPr>
        <w:t xml:space="preserve"> – in a sense -</w:t>
      </w:r>
      <w:r w:rsidRPr="00603574">
        <w:rPr>
          <w:b/>
          <w:bCs/>
          <w:sz w:val="24"/>
          <w:szCs w:val="24"/>
        </w:rPr>
        <w:t xml:space="preserve">cancel each other out, the HST as far as this test goes will not be raised, nor lowered from the baseline. </w:t>
      </w:r>
    </w:p>
    <w:p w14:paraId="08C5DF5E" w14:textId="6F702E9D" w:rsidR="004E7E9E" w:rsidRDefault="001A17F8" w:rsidP="005E5542">
      <w:pPr>
        <w:pStyle w:val="Heading2"/>
        <w:jc w:val="both"/>
      </w:pPr>
      <w:bookmarkStart w:id="10" w:name="_Toc137714790"/>
      <w:r>
        <w:t>Capacity of construction sector</w:t>
      </w:r>
      <w:bookmarkEnd w:id="10"/>
      <w:r>
        <w:t xml:space="preserve"> </w:t>
      </w:r>
    </w:p>
    <w:p w14:paraId="13D61691" w14:textId="07B8E7F2" w:rsidR="00603574" w:rsidRPr="00603574" w:rsidRDefault="00603574" w:rsidP="00603574">
      <w:pPr>
        <w:jc w:val="both"/>
        <w:rPr>
          <w:sz w:val="24"/>
          <w:szCs w:val="24"/>
        </w:rPr>
      </w:pPr>
      <w:r w:rsidRPr="00603574">
        <w:rPr>
          <w:sz w:val="24"/>
          <w:szCs w:val="24"/>
        </w:rPr>
        <w:t xml:space="preserve">Inverclyde is one of the 8 constituent local authorities in the Glasgow City Region. As the largest city region in Scotland and a significant driver of the Scottish </w:t>
      </w:r>
      <w:r w:rsidR="004E094A">
        <w:rPr>
          <w:sz w:val="24"/>
          <w:szCs w:val="24"/>
        </w:rPr>
        <w:t>e</w:t>
      </w:r>
      <w:r w:rsidRPr="00603574">
        <w:rPr>
          <w:sz w:val="24"/>
          <w:szCs w:val="24"/>
        </w:rPr>
        <w:t xml:space="preserve">conomy, any capacity issues in the construction sector, including </w:t>
      </w:r>
      <w:r>
        <w:rPr>
          <w:sz w:val="24"/>
          <w:szCs w:val="24"/>
        </w:rPr>
        <w:t>in</w:t>
      </w:r>
      <w:r w:rsidRPr="00603574">
        <w:rPr>
          <w:sz w:val="24"/>
          <w:szCs w:val="24"/>
        </w:rPr>
        <w:t xml:space="preserve"> relation to materials and labour, are not likely to impact on long term delivery or on regional and local ambitions. </w:t>
      </w:r>
    </w:p>
    <w:p w14:paraId="172C687C" w14:textId="77777777" w:rsidR="00603574" w:rsidRPr="00603574" w:rsidRDefault="00603574" w:rsidP="00603574">
      <w:pPr>
        <w:jc w:val="both"/>
        <w:rPr>
          <w:sz w:val="24"/>
          <w:szCs w:val="24"/>
        </w:rPr>
      </w:pPr>
    </w:p>
    <w:p w14:paraId="541AC164" w14:textId="77777777" w:rsidR="00AC37D4" w:rsidRDefault="00603574" w:rsidP="00603574">
      <w:pPr>
        <w:jc w:val="both"/>
        <w:rPr>
          <w:sz w:val="24"/>
          <w:szCs w:val="24"/>
        </w:rPr>
      </w:pPr>
      <w:r>
        <w:rPr>
          <w:sz w:val="24"/>
          <w:szCs w:val="24"/>
        </w:rPr>
        <w:t xml:space="preserve">The case was made in Inverclyde’s submission for MATHLR that </w:t>
      </w:r>
      <w:r w:rsidRPr="00603574">
        <w:rPr>
          <w:sz w:val="24"/>
          <w:szCs w:val="24"/>
        </w:rPr>
        <w:t xml:space="preserve">completions evidence </w:t>
      </w:r>
      <w:r>
        <w:rPr>
          <w:sz w:val="24"/>
          <w:szCs w:val="24"/>
        </w:rPr>
        <w:t xml:space="preserve">of on average of 148 units per annum </w:t>
      </w:r>
      <w:r w:rsidR="004E094A">
        <w:rPr>
          <w:sz w:val="24"/>
          <w:szCs w:val="24"/>
        </w:rPr>
        <w:t xml:space="preserve">which (included 78 social rented units and 70 private sector units) </w:t>
      </w:r>
      <w:r>
        <w:rPr>
          <w:sz w:val="24"/>
          <w:szCs w:val="24"/>
        </w:rPr>
        <w:t xml:space="preserve">showed that </w:t>
      </w:r>
      <w:r w:rsidRPr="00603574">
        <w:rPr>
          <w:sz w:val="24"/>
          <w:szCs w:val="24"/>
        </w:rPr>
        <w:t>there is construction capacity for significantly more than 250 houses over 10 years</w:t>
      </w:r>
      <w:r>
        <w:rPr>
          <w:sz w:val="24"/>
          <w:szCs w:val="24"/>
        </w:rPr>
        <w:t xml:space="preserve">. This </w:t>
      </w:r>
      <w:r w:rsidR="00406A4C">
        <w:rPr>
          <w:sz w:val="24"/>
          <w:szCs w:val="24"/>
        </w:rPr>
        <w:t>is particularly</w:t>
      </w:r>
      <w:r>
        <w:rPr>
          <w:sz w:val="24"/>
          <w:szCs w:val="24"/>
        </w:rPr>
        <w:t xml:space="preserve"> true for the social rented tenure </w:t>
      </w:r>
      <w:r w:rsidRPr="00603574">
        <w:rPr>
          <w:sz w:val="24"/>
          <w:szCs w:val="24"/>
        </w:rPr>
        <w:t>where development capacity has recently increased given the More Homes Scotland funding commitments</w:t>
      </w:r>
      <w:r w:rsidR="004E094A">
        <w:rPr>
          <w:sz w:val="24"/>
          <w:szCs w:val="24"/>
        </w:rPr>
        <w:t>.</w:t>
      </w:r>
    </w:p>
    <w:p w14:paraId="4F1A6275" w14:textId="77777777" w:rsidR="00AC37D4" w:rsidRDefault="00AC37D4" w:rsidP="00603574">
      <w:pPr>
        <w:jc w:val="both"/>
        <w:rPr>
          <w:sz w:val="24"/>
          <w:szCs w:val="24"/>
        </w:rPr>
      </w:pPr>
    </w:p>
    <w:p w14:paraId="77BD1C07" w14:textId="618BE699" w:rsidR="00942498" w:rsidRDefault="004E094A" w:rsidP="00603574">
      <w:pPr>
        <w:jc w:val="both"/>
        <w:rPr>
          <w:sz w:val="24"/>
          <w:szCs w:val="24"/>
        </w:rPr>
      </w:pPr>
      <w:r>
        <w:rPr>
          <w:sz w:val="24"/>
          <w:szCs w:val="24"/>
        </w:rPr>
        <w:t>The present SHIP outlines a total of 5</w:t>
      </w:r>
      <w:r w:rsidR="00BE020D">
        <w:rPr>
          <w:sz w:val="24"/>
          <w:szCs w:val="24"/>
        </w:rPr>
        <w:t>92</w:t>
      </w:r>
      <w:r>
        <w:rPr>
          <w:sz w:val="24"/>
          <w:szCs w:val="24"/>
        </w:rPr>
        <w:t xml:space="preserve"> units to be potentially developed between </w:t>
      </w:r>
      <w:r w:rsidRPr="004E094A">
        <w:rPr>
          <w:sz w:val="24"/>
          <w:szCs w:val="24"/>
        </w:rPr>
        <w:t>23/24-27/28</w:t>
      </w:r>
      <w:r>
        <w:rPr>
          <w:sz w:val="24"/>
          <w:szCs w:val="24"/>
        </w:rPr>
        <w:t xml:space="preserve"> which </w:t>
      </w:r>
      <w:r w:rsidR="00406A4C">
        <w:rPr>
          <w:sz w:val="24"/>
          <w:szCs w:val="24"/>
        </w:rPr>
        <w:t>is 118</w:t>
      </w:r>
      <w:r>
        <w:rPr>
          <w:sz w:val="24"/>
          <w:szCs w:val="24"/>
        </w:rPr>
        <w:t xml:space="preserve"> units per annum. </w:t>
      </w:r>
      <w:r w:rsidR="00F41CCC">
        <w:rPr>
          <w:sz w:val="24"/>
          <w:szCs w:val="24"/>
        </w:rPr>
        <w:t>Moreover,</w:t>
      </w:r>
      <w:r w:rsidR="00942498">
        <w:rPr>
          <w:sz w:val="24"/>
          <w:szCs w:val="24"/>
        </w:rPr>
        <w:t xml:space="preserve"> as the table below shows for completions statistics, despite significant slowdowns during 2020, completions have shown significant growth wherein 2022 represents the largest </w:t>
      </w:r>
      <w:r w:rsidR="00F41CCC">
        <w:rPr>
          <w:sz w:val="24"/>
          <w:szCs w:val="24"/>
        </w:rPr>
        <w:t>number</w:t>
      </w:r>
      <w:r w:rsidR="00942498">
        <w:rPr>
          <w:sz w:val="24"/>
          <w:szCs w:val="24"/>
        </w:rPr>
        <w:t xml:space="preserve"> of completions in the past decade. This suggests that despite the issues affecting supply and demand discussed in the previous section that construction capacity can more than meet the baseline set here of 112 per annum and our MATHLR of 150 units per year. </w:t>
      </w:r>
    </w:p>
    <w:p w14:paraId="2242AEE9" w14:textId="77777777" w:rsidR="0084137C" w:rsidRPr="00603574" w:rsidRDefault="0084137C" w:rsidP="00603574">
      <w:pPr>
        <w:jc w:val="both"/>
        <w:rPr>
          <w:sz w:val="24"/>
          <w:szCs w:val="24"/>
        </w:rPr>
      </w:pPr>
    </w:p>
    <w:p w14:paraId="7E1D0BE2" w14:textId="77777777" w:rsidR="00AC37D4" w:rsidRDefault="00AC37D4" w:rsidP="00046B54">
      <w:pPr>
        <w:pStyle w:val="Caption"/>
        <w:keepNext/>
        <w:sectPr w:rsidR="00AC37D4" w:rsidSect="00B01D8B">
          <w:headerReference w:type="even" r:id="rId14"/>
          <w:headerReference w:type="default" r:id="rId15"/>
          <w:footerReference w:type="default" r:id="rId16"/>
          <w:headerReference w:type="first" r:id="rId17"/>
          <w:footerReference w:type="first" r:id="rId18"/>
          <w:pgSz w:w="11906" w:h="16838"/>
          <w:pgMar w:top="1440" w:right="1440" w:bottom="1440" w:left="1440" w:header="708" w:footer="708" w:gutter="0"/>
          <w:pgNumType w:start="0"/>
          <w:cols w:space="708"/>
          <w:titlePg/>
          <w:docGrid w:linePitch="360"/>
        </w:sectPr>
      </w:pPr>
    </w:p>
    <w:p w14:paraId="47BF85C7" w14:textId="57797803" w:rsidR="00046B54" w:rsidRPr="00AC37D4" w:rsidRDefault="00046B54" w:rsidP="00046B54">
      <w:pPr>
        <w:pStyle w:val="Caption"/>
        <w:keepNext/>
        <w:rPr>
          <w:sz w:val="22"/>
          <w:szCs w:val="22"/>
        </w:rPr>
      </w:pPr>
      <w:r w:rsidRPr="00AC37D4">
        <w:rPr>
          <w:sz w:val="22"/>
          <w:szCs w:val="22"/>
        </w:rPr>
        <w:t xml:space="preserve">Table </w:t>
      </w:r>
      <w:r w:rsidR="008A5FFB" w:rsidRPr="00AC37D4">
        <w:rPr>
          <w:sz w:val="22"/>
          <w:szCs w:val="22"/>
        </w:rPr>
        <w:fldChar w:fldCharType="begin"/>
      </w:r>
      <w:r w:rsidR="008A5FFB" w:rsidRPr="00AC37D4">
        <w:rPr>
          <w:sz w:val="22"/>
          <w:szCs w:val="22"/>
        </w:rPr>
        <w:instrText xml:space="preserve"> SEQ Table \* ARABIC </w:instrText>
      </w:r>
      <w:r w:rsidR="008A5FFB" w:rsidRPr="00AC37D4">
        <w:rPr>
          <w:sz w:val="22"/>
          <w:szCs w:val="22"/>
        </w:rPr>
        <w:fldChar w:fldCharType="separate"/>
      </w:r>
      <w:r w:rsidR="006A0C0E" w:rsidRPr="00AC37D4">
        <w:rPr>
          <w:noProof/>
          <w:sz w:val="22"/>
          <w:szCs w:val="22"/>
        </w:rPr>
        <w:t>2</w:t>
      </w:r>
      <w:r w:rsidR="008A5FFB" w:rsidRPr="00AC37D4">
        <w:rPr>
          <w:noProof/>
          <w:sz w:val="22"/>
          <w:szCs w:val="22"/>
        </w:rPr>
        <w:fldChar w:fldCharType="end"/>
      </w:r>
      <w:r w:rsidRPr="00AC37D4">
        <w:rPr>
          <w:sz w:val="22"/>
          <w:szCs w:val="22"/>
        </w:rPr>
        <w:t xml:space="preserve"> Completion statistics 2013-22 (Source: </w:t>
      </w:r>
      <w:r w:rsidR="00AC37D4" w:rsidRPr="00AC37D4">
        <w:rPr>
          <w:sz w:val="22"/>
          <w:szCs w:val="22"/>
        </w:rPr>
        <w:t xml:space="preserve">Inverclyde </w:t>
      </w:r>
      <w:r w:rsidRPr="00AC37D4">
        <w:rPr>
          <w:sz w:val="22"/>
          <w:szCs w:val="22"/>
        </w:rPr>
        <w:t>Housing Land Audit)</w:t>
      </w:r>
    </w:p>
    <w:tbl>
      <w:tblPr>
        <w:tblpPr w:leftFromText="180" w:rightFromText="180" w:vertAnchor="text" w:tblpY="1"/>
        <w:tblOverlap w:val="never"/>
        <w:tblW w:w="8960" w:type="dxa"/>
        <w:tblCellMar>
          <w:left w:w="0" w:type="dxa"/>
          <w:right w:w="0" w:type="dxa"/>
        </w:tblCellMar>
        <w:tblLook w:val="04A0" w:firstRow="1" w:lastRow="0" w:firstColumn="1" w:lastColumn="0" w:noHBand="0" w:noVBand="1"/>
      </w:tblPr>
      <w:tblGrid>
        <w:gridCol w:w="4279"/>
        <w:gridCol w:w="4681"/>
      </w:tblGrid>
      <w:tr w:rsidR="00942498" w14:paraId="0118667D" w14:textId="77777777" w:rsidTr="0084137C">
        <w:trPr>
          <w:trHeight w:val="441"/>
        </w:trPr>
        <w:tc>
          <w:tcPr>
            <w:tcW w:w="427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CE92A83" w14:textId="77777777" w:rsidR="00942498" w:rsidRDefault="00942498" w:rsidP="00B73E97">
            <w:r>
              <w:rPr>
                <w:color w:val="000000"/>
              </w:rPr>
              <w:t>AUDIT YEAR</w:t>
            </w:r>
          </w:p>
        </w:tc>
        <w:tc>
          <w:tcPr>
            <w:tcW w:w="468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810A1B6" w14:textId="77777777" w:rsidR="00942498" w:rsidRDefault="00942498" w:rsidP="00B73E97">
            <w:r>
              <w:rPr>
                <w:color w:val="000000"/>
              </w:rPr>
              <w:t>COMPLETIONS</w:t>
            </w:r>
          </w:p>
        </w:tc>
      </w:tr>
      <w:tr w:rsidR="00942498" w14:paraId="127EFC7B" w14:textId="77777777" w:rsidTr="0084137C">
        <w:trPr>
          <w:trHeight w:val="428"/>
        </w:trPr>
        <w:tc>
          <w:tcPr>
            <w:tcW w:w="42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072B3" w14:textId="77777777" w:rsidR="00942498" w:rsidRDefault="00942498" w:rsidP="00B73E97">
            <w:r>
              <w:t>2022</w:t>
            </w:r>
          </w:p>
        </w:tc>
        <w:tc>
          <w:tcPr>
            <w:tcW w:w="4681" w:type="dxa"/>
            <w:tcBorders>
              <w:top w:val="nil"/>
              <w:left w:val="nil"/>
              <w:bottom w:val="single" w:sz="8" w:space="0" w:color="auto"/>
              <w:right w:val="single" w:sz="8" w:space="0" w:color="auto"/>
            </w:tcBorders>
            <w:tcMar>
              <w:top w:w="0" w:type="dxa"/>
              <w:left w:w="108" w:type="dxa"/>
              <w:bottom w:w="0" w:type="dxa"/>
              <w:right w:w="108" w:type="dxa"/>
            </w:tcMar>
            <w:hideMark/>
          </w:tcPr>
          <w:p w14:paraId="17DCF3BB" w14:textId="1691E3F5" w:rsidR="00942498" w:rsidRDefault="00942498" w:rsidP="00B73E97">
            <w:r>
              <w:t>481</w:t>
            </w:r>
          </w:p>
        </w:tc>
      </w:tr>
      <w:tr w:rsidR="00942498" w14:paraId="405ED302" w14:textId="77777777" w:rsidTr="0084137C">
        <w:trPr>
          <w:trHeight w:val="441"/>
        </w:trPr>
        <w:tc>
          <w:tcPr>
            <w:tcW w:w="42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8A49C" w14:textId="77777777" w:rsidR="00942498" w:rsidRDefault="00942498" w:rsidP="00B73E97">
            <w:r>
              <w:t>2021</w:t>
            </w:r>
          </w:p>
        </w:tc>
        <w:tc>
          <w:tcPr>
            <w:tcW w:w="4681" w:type="dxa"/>
            <w:tcBorders>
              <w:top w:val="nil"/>
              <w:left w:val="nil"/>
              <w:bottom w:val="single" w:sz="8" w:space="0" w:color="auto"/>
              <w:right w:val="single" w:sz="8" w:space="0" w:color="auto"/>
            </w:tcBorders>
            <w:tcMar>
              <w:top w:w="0" w:type="dxa"/>
              <w:left w:w="108" w:type="dxa"/>
              <w:bottom w:w="0" w:type="dxa"/>
              <w:right w:w="108" w:type="dxa"/>
            </w:tcMar>
            <w:hideMark/>
          </w:tcPr>
          <w:p w14:paraId="5CBFAD0E" w14:textId="77777777" w:rsidR="00942498" w:rsidRDefault="00942498" w:rsidP="00B73E97">
            <w:r>
              <w:t>259</w:t>
            </w:r>
          </w:p>
        </w:tc>
      </w:tr>
      <w:tr w:rsidR="00942498" w14:paraId="1837C573" w14:textId="77777777" w:rsidTr="0084137C">
        <w:trPr>
          <w:trHeight w:val="428"/>
        </w:trPr>
        <w:tc>
          <w:tcPr>
            <w:tcW w:w="42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1B884" w14:textId="77777777" w:rsidR="00942498" w:rsidRDefault="00942498" w:rsidP="00B73E97">
            <w:r>
              <w:t>2020</w:t>
            </w:r>
          </w:p>
        </w:tc>
        <w:tc>
          <w:tcPr>
            <w:tcW w:w="4681" w:type="dxa"/>
            <w:tcBorders>
              <w:top w:val="nil"/>
              <w:left w:val="nil"/>
              <w:bottom w:val="single" w:sz="8" w:space="0" w:color="auto"/>
              <w:right w:val="single" w:sz="8" w:space="0" w:color="auto"/>
            </w:tcBorders>
            <w:tcMar>
              <w:top w:w="0" w:type="dxa"/>
              <w:left w:w="108" w:type="dxa"/>
              <w:bottom w:w="0" w:type="dxa"/>
              <w:right w:w="108" w:type="dxa"/>
            </w:tcMar>
            <w:hideMark/>
          </w:tcPr>
          <w:p w14:paraId="58A049B0" w14:textId="77777777" w:rsidR="00942498" w:rsidRDefault="00942498" w:rsidP="00B73E97">
            <w:r>
              <w:t>76</w:t>
            </w:r>
          </w:p>
        </w:tc>
      </w:tr>
      <w:tr w:rsidR="00942498" w14:paraId="13DC4F89" w14:textId="77777777" w:rsidTr="0084137C">
        <w:trPr>
          <w:trHeight w:val="441"/>
        </w:trPr>
        <w:tc>
          <w:tcPr>
            <w:tcW w:w="42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E7E75" w14:textId="77777777" w:rsidR="00942498" w:rsidRDefault="00942498" w:rsidP="00B73E97">
            <w:r>
              <w:t>2019</w:t>
            </w:r>
          </w:p>
        </w:tc>
        <w:tc>
          <w:tcPr>
            <w:tcW w:w="4681" w:type="dxa"/>
            <w:tcBorders>
              <w:top w:val="nil"/>
              <w:left w:val="nil"/>
              <w:bottom w:val="single" w:sz="8" w:space="0" w:color="auto"/>
              <w:right w:val="single" w:sz="8" w:space="0" w:color="auto"/>
            </w:tcBorders>
            <w:tcMar>
              <w:top w:w="0" w:type="dxa"/>
              <w:left w:w="108" w:type="dxa"/>
              <w:bottom w:w="0" w:type="dxa"/>
              <w:right w:w="108" w:type="dxa"/>
            </w:tcMar>
            <w:hideMark/>
          </w:tcPr>
          <w:p w14:paraId="11661264" w14:textId="77777777" w:rsidR="00942498" w:rsidRDefault="00942498" w:rsidP="00B73E97">
            <w:r>
              <w:t>66</w:t>
            </w:r>
          </w:p>
        </w:tc>
      </w:tr>
      <w:tr w:rsidR="00942498" w14:paraId="4FE0276D" w14:textId="77777777" w:rsidTr="0084137C">
        <w:trPr>
          <w:trHeight w:val="428"/>
        </w:trPr>
        <w:tc>
          <w:tcPr>
            <w:tcW w:w="42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E40002" w14:textId="77777777" w:rsidR="00942498" w:rsidRDefault="00942498" w:rsidP="00B73E97">
            <w:r>
              <w:t>2018</w:t>
            </w:r>
          </w:p>
        </w:tc>
        <w:tc>
          <w:tcPr>
            <w:tcW w:w="4681" w:type="dxa"/>
            <w:tcBorders>
              <w:top w:val="nil"/>
              <w:left w:val="nil"/>
              <w:bottom w:val="single" w:sz="8" w:space="0" w:color="auto"/>
              <w:right w:val="single" w:sz="8" w:space="0" w:color="auto"/>
            </w:tcBorders>
            <w:tcMar>
              <w:top w:w="0" w:type="dxa"/>
              <w:left w:w="108" w:type="dxa"/>
              <w:bottom w:w="0" w:type="dxa"/>
              <w:right w:w="108" w:type="dxa"/>
            </w:tcMar>
            <w:hideMark/>
          </w:tcPr>
          <w:p w14:paraId="16E0F9E9" w14:textId="77777777" w:rsidR="00942498" w:rsidRDefault="00942498" w:rsidP="00B73E97">
            <w:r>
              <w:t>121</w:t>
            </w:r>
          </w:p>
        </w:tc>
      </w:tr>
      <w:tr w:rsidR="00942498" w14:paraId="28D3BA28" w14:textId="77777777" w:rsidTr="0084137C">
        <w:trPr>
          <w:trHeight w:val="441"/>
        </w:trPr>
        <w:tc>
          <w:tcPr>
            <w:tcW w:w="42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555AE2" w14:textId="77777777" w:rsidR="00942498" w:rsidRDefault="00942498" w:rsidP="00B73E97">
            <w:r>
              <w:t>2017</w:t>
            </w:r>
          </w:p>
        </w:tc>
        <w:tc>
          <w:tcPr>
            <w:tcW w:w="4681" w:type="dxa"/>
            <w:tcBorders>
              <w:top w:val="nil"/>
              <w:left w:val="nil"/>
              <w:bottom w:val="single" w:sz="8" w:space="0" w:color="auto"/>
              <w:right w:val="single" w:sz="8" w:space="0" w:color="auto"/>
            </w:tcBorders>
            <w:tcMar>
              <w:top w:w="0" w:type="dxa"/>
              <w:left w:w="108" w:type="dxa"/>
              <w:bottom w:w="0" w:type="dxa"/>
              <w:right w:w="108" w:type="dxa"/>
            </w:tcMar>
            <w:hideMark/>
          </w:tcPr>
          <w:p w14:paraId="168C8B96" w14:textId="77777777" w:rsidR="00942498" w:rsidRDefault="00942498" w:rsidP="00B73E97">
            <w:r>
              <w:t>123</w:t>
            </w:r>
          </w:p>
        </w:tc>
      </w:tr>
      <w:tr w:rsidR="00942498" w14:paraId="76508021" w14:textId="77777777" w:rsidTr="0084137C">
        <w:trPr>
          <w:trHeight w:val="428"/>
        </w:trPr>
        <w:tc>
          <w:tcPr>
            <w:tcW w:w="42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996101" w14:textId="77777777" w:rsidR="00942498" w:rsidRDefault="00942498" w:rsidP="00B73E97">
            <w:r>
              <w:t>2016</w:t>
            </w:r>
          </w:p>
        </w:tc>
        <w:tc>
          <w:tcPr>
            <w:tcW w:w="4681" w:type="dxa"/>
            <w:tcBorders>
              <w:top w:val="nil"/>
              <w:left w:val="nil"/>
              <w:bottom w:val="single" w:sz="8" w:space="0" w:color="auto"/>
              <w:right w:val="single" w:sz="8" w:space="0" w:color="auto"/>
            </w:tcBorders>
            <w:tcMar>
              <w:top w:w="0" w:type="dxa"/>
              <w:left w:w="108" w:type="dxa"/>
              <w:bottom w:w="0" w:type="dxa"/>
              <w:right w:w="108" w:type="dxa"/>
            </w:tcMar>
            <w:hideMark/>
          </w:tcPr>
          <w:p w14:paraId="602B4059" w14:textId="77777777" w:rsidR="00942498" w:rsidRDefault="00942498" w:rsidP="00B73E97">
            <w:r>
              <w:t>341</w:t>
            </w:r>
          </w:p>
        </w:tc>
      </w:tr>
      <w:tr w:rsidR="00942498" w14:paraId="40276785" w14:textId="77777777" w:rsidTr="0084137C">
        <w:trPr>
          <w:trHeight w:val="441"/>
        </w:trPr>
        <w:tc>
          <w:tcPr>
            <w:tcW w:w="42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05E1D" w14:textId="77777777" w:rsidR="00942498" w:rsidRDefault="00942498" w:rsidP="00B73E97">
            <w:r>
              <w:t>2015</w:t>
            </w:r>
          </w:p>
        </w:tc>
        <w:tc>
          <w:tcPr>
            <w:tcW w:w="4681" w:type="dxa"/>
            <w:tcBorders>
              <w:top w:val="nil"/>
              <w:left w:val="nil"/>
              <w:bottom w:val="single" w:sz="8" w:space="0" w:color="auto"/>
              <w:right w:val="single" w:sz="8" w:space="0" w:color="auto"/>
            </w:tcBorders>
            <w:tcMar>
              <w:top w:w="0" w:type="dxa"/>
              <w:left w:w="108" w:type="dxa"/>
              <w:bottom w:w="0" w:type="dxa"/>
              <w:right w:w="108" w:type="dxa"/>
            </w:tcMar>
            <w:hideMark/>
          </w:tcPr>
          <w:p w14:paraId="6B373634" w14:textId="77777777" w:rsidR="00942498" w:rsidRDefault="00942498" w:rsidP="00B73E97">
            <w:r>
              <w:t>112</w:t>
            </w:r>
          </w:p>
        </w:tc>
      </w:tr>
      <w:tr w:rsidR="00942498" w14:paraId="371F4898" w14:textId="77777777" w:rsidTr="0084137C">
        <w:trPr>
          <w:trHeight w:val="428"/>
        </w:trPr>
        <w:tc>
          <w:tcPr>
            <w:tcW w:w="42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BB3242" w14:textId="77777777" w:rsidR="00942498" w:rsidRDefault="00942498" w:rsidP="00B73E97">
            <w:r>
              <w:t>2014</w:t>
            </w:r>
          </w:p>
        </w:tc>
        <w:tc>
          <w:tcPr>
            <w:tcW w:w="4681" w:type="dxa"/>
            <w:tcBorders>
              <w:top w:val="nil"/>
              <w:left w:val="nil"/>
              <w:bottom w:val="single" w:sz="8" w:space="0" w:color="auto"/>
              <w:right w:val="single" w:sz="8" w:space="0" w:color="auto"/>
            </w:tcBorders>
            <w:tcMar>
              <w:top w:w="0" w:type="dxa"/>
              <w:left w:w="108" w:type="dxa"/>
              <w:bottom w:w="0" w:type="dxa"/>
              <w:right w:w="108" w:type="dxa"/>
            </w:tcMar>
            <w:hideMark/>
          </w:tcPr>
          <w:p w14:paraId="2283D8C2" w14:textId="77777777" w:rsidR="00942498" w:rsidRDefault="00942498" w:rsidP="00B73E97">
            <w:r>
              <w:t>197</w:t>
            </w:r>
          </w:p>
        </w:tc>
      </w:tr>
      <w:tr w:rsidR="00942498" w14:paraId="26A08E29" w14:textId="77777777" w:rsidTr="0084137C">
        <w:trPr>
          <w:trHeight w:val="428"/>
        </w:trPr>
        <w:tc>
          <w:tcPr>
            <w:tcW w:w="42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0B8F3" w14:textId="77777777" w:rsidR="00942498" w:rsidRDefault="00942498" w:rsidP="00B73E97">
            <w:r>
              <w:t>2013</w:t>
            </w:r>
          </w:p>
        </w:tc>
        <w:tc>
          <w:tcPr>
            <w:tcW w:w="4681" w:type="dxa"/>
            <w:tcBorders>
              <w:top w:val="nil"/>
              <w:left w:val="nil"/>
              <w:bottom w:val="single" w:sz="8" w:space="0" w:color="auto"/>
              <w:right w:val="single" w:sz="8" w:space="0" w:color="auto"/>
            </w:tcBorders>
            <w:tcMar>
              <w:top w:w="0" w:type="dxa"/>
              <w:left w:w="108" w:type="dxa"/>
              <w:bottom w:w="0" w:type="dxa"/>
              <w:right w:w="108" w:type="dxa"/>
            </w:tcMar>
            <w:hideMark/>
          </w:tcPr>
          <w:p w14:paraId="563411ED" w14:textId="77777777" w:rsidR="00942498" w:rsidRDefault="00942498" w:rsidP="00B73E97">
            <w:r>
              <w:t>197</w:t>
            </w:r>
          </w:p>
        </w:tc>
      </w:tr>
    </w:tbl>
    <w:p w14:paraId="3DB93765" w14:textId="3972775C" w:rsidR="00603574" w:rsidRDefault="00603574" w:rsidP="00603574">
      <w:pPr>
        <w:jc w:val="both"/>
        <w:rPr>
          <w:sz w:val="24"/>
          <w:szCs w:val="24"/>
        </w:rPr>
      </w:pPr>
    </w:p>
    <w:p w14:paraId="481987CD" w14:textId="77777777" w:rsidR="003C41FA" w:rsidRDefault="00942498" w:rsidP="003C41FA">
      <w:pPr>
        <w:spacing w:after="240"/>
        <w:jc w:val="both"/>
        <w:rPr>
          <w:b/>
          <w:bCs/>
          <w:sz w:val="24"/>
          <w:szCs w:val="24"/>
        </w:rPr>
      </w:pPr>
      <w:r>
        <w:rPr>
          <w:sz w:val="24"/>
          <w:szCs w:val="24"/>
        </w:rPr>
        <w:t xml:space="preserve">This shows that capacity in the construction sector can justify an increase of our housing supply target above the baseline. Since the baseline was based on 25% from the MATHLR and given that completions and SHIP programmes indicate capacity above the MATHLR </w:t>
      </w:r>
      <w:r>
        <w:rPr>
          <w:b/>
          <w:bCs/>
          <w:sz w:val="24"/>
          <w:szCs w:val="24"/>
        </w:rPr>
        <w:t xml:space="preserve">the HST at this stage will now be +25% over the MATHLR at 1875 units over 10 years or 187 per annum. </w:t>
      </w:r>
    </w:p>
    <w:p w14:paraId="5FA4147E" w14:textId="6D4D433E" w:rsidR="007B0D6C" w:rsidRPr="003C41FA" w:rsidRDefault="007B0D6C" w:rsidP="003C41FA">
      <w:pPr>
        <w:pStyle w:val="Heading2"/>
        <w:rPr>
          <w:b/>
          <w:bCs/>
          <w:sz w:val="24"/>
          <w:szCs w:val="24"/>
        </w:rPr>
      </w:pPr>
      <w:bookmarkStart w:id="11" w:name="_Toc137714791"/>
      <w:r>
        <w:t>Interdependency between delivery of market and affordable housing</w:t>
      </w:r>
      <w:bookmarkEnd w:id="11"/>
      <w:r>
        <w:t xml:space="preserve"> </w:t>
      </w:r>
    </w:p>
    <w:p w14:paraId="2641FEC7" w14:textId="77777777" w:rsidR="00804D2B" w:rsidRPr="00DC3EEA" w:rsidRDefault="00804D2B" w:rsidP="00804D2B">
      <w:pPr>
        <w:jc w:val="both"/>
        <w:rPr>
          <w:rFonts w:asciiTheme="minorHAnsi" w:hAnsiTheme="minorHAnsi" w:cstheme="minorHAnsi"/>
          <w:sz w:val="24"/>
          <w:szCs w:val="24"/>
        </w:rPr>
      </w:pPr>
      <w:r w:rsidRPr="00DC3EEA">
        <w:rPr>
          <w:rFonts w:asciiTheme="minorHAnsi" w:hAnsiTheme="minorHAnsi" w:cstheme="minorHAnsi"/>
          <w:sz w:val="24"/>
          <w:szCs w:val="24"/>
        </w:rPr>
        <w:t xml:space="preserve">Levels of interdependency between market and affordable housing has historically been low, and it is anticipated that this will remain the case for the duration of these housing supply targets also. </w:t>
      </w:r>
    </w:p>
    <w:p w14:paraId="4CD7CDDE" w14:textId="77777777" w:rsidR="00804D2B" w:rsidRPr="00DC3EEA" w:rsidRDefault="00804D2B" w:rsidP="00804D2B">
      <w:pPr>
        <w:jc w:val="both"/>
        <w:rPr>
          <w:rFonts w:asciiTheme="minorHAnsi" w:hAnsiTheme="minorHAnsi" w:cstheme="minorHAnsi"/>
          <w:sz w:val="24"/>
          <w:szCs w:val="24"/>
        </w:rPr>
      </w:pPr>
    </w:p>
    <w:p w14:paraId="0E01929F" w14:textId="77777777" w:rsidR="00804D2B" w:rsidRPr="00DC3EEA" w:rsidRDefault="00804D2B" w:rsidP="00804D2B">
      <w:pPr>
        <w:jc w:val="both"/>
        <w:rPr>
          <w:rFonts w:asciiTheme="minorHAnsi" w:hAnsiTheme="minorHAnsi" w:cstheme="minorHAnsi"/>
          <w:strike/>
          <w:sz w:val="24"/>
          <w:szCs w:val="24"/>
        </w:rPr>
      </w:pPr>
      <w:r w:rsidRPr="00DC3EEA">
        <w:rPr>
          <w:rFonts w:asciiTheme="minorHAnsi" w:hAnsiTheme="minorHAnsi" w:cstheme="minorHAnsi"/>
          <w:sz w:val="24"/>
          <w:szCs w:val="24"/>
        </w:rPr>
        <w:t xml:space="preserve">At present there is a low level of funding added to the Affordable Housing Fund (AHF), the use of which is limited to supporting the delivery of affordable housing, in recent years via commuted sums. The amount of these sums and the stage by which they will be paid are agreed and provided within Section 75 agreements. However, this method of delivery via commuted sums from developers is our least preferred option; on and off-site development of affordable housing in partnership with Registered Social Landlords is much preferred. Currently the AHF amounts to £220 000 which was credited in the duration of the previous LHS 2017-22 as commuted sums from the development at Eldon Street, Greenock and for 2 Auchneagh Road, Greenock of £40,000. At present the AHF is to be utilised to support the acquisition programme which means that this does not contribute to additional new housing supply. </w:t>
      </w:r>
    </w:p>
    <w:p w14:paraId="6D62907C" w14:textId="77777777" w:rsidR="00804D2B" w:rsidRPr="00DC3EEA" w:rsidRDefault="00804D2B" w:rsidP="00804D2B">
      <w:pPr>
        <w:jc w:val="both"/>
        <w:rPr>
          <w:rFonts w:asciiTheme="minorHAnsi" w:hAnsiTheme="minorHAnsi" w:cstheme="minorHAnsi"/>
          <w:sz w:val="24"/>
          <w:szCs w:val="24"/>
        </w:rPr>
      </w:pPr>
    </w:p>
    <w:p w14:paraId="794DE41F" w14:textId="77777777" w:rsidR="00804D2B" w:rsidRPr="00DC3EEA" w:rsidRDefault="00804D2B" w:rsidP="00804D2B">
      <w:pPr>
        <w:jc w:val="both"/>
        <w:rPr>
          <w:rFonts w:asciiTheme="minorHAnsi" w:hAnsiTheme="minorHAnsi" w:cstheme="minorHAnsi"/>
          <w:sz w:val="24"/>
          <w:szCs w:val="24"/>
        </w:rPr>
      </w:pPr>
      <w:r w:rsidRPr="00DC3EEA">
        <w:rPr>
          <w:rFonts w:asciiTheme="minorHAnsi" w:hAnsiTheme="minorHAnsi" w:cstheme="minorHAnsi"/>
          <w:sz w:val="24"/>
          <w:szCs w:val="24"/>
        </w:rPr>
        <w:t xml:space="preserve">For the duration of the LHS currently in production there is a Section 75 agreement for the Quarry Drive development, a contribution set at 19 units on the site to be delivered in partnership with Link Housing Association. </w:t>
      </w:r>
    </w:p>
    <w:p w14:paraId="3C357BDD" w14:textId="77777777" w:rsidR="00804D2B" w:rsidRPr="00DC3EEA" w:rsidRDefault="00804D2B" w:rsidP="00804D2B">
      <w:pPr>
        <w:jc w:val="both"/>
        <w:rPr>
          <w:rFonts w:asciiTheme="minorHAnsi" w:hAnsiTheme="minorHAnsi" w:cstheme="minorHAnsi"/>
          <w:sz w:val="24"/>
          <w:szCs w:val="24"/>
        </w:rPr>
      </w:pPr>
    </w:p>
    <w:p w14:paraId="6ADD97D6" w14:textId="77777777" w:rsidR="00804D2B" w:rsidRPr="00DC3EEA" w:rsidRDefault="00804D2B" w:rsidP="00804D2B">
      <w:pPr>
        <w:jc w:val="both"/>
        <w:rPr>
          <w:rFonts w:asciiTheme="minorHAnsi" w:hAnsiTheme="minorHAnsi" w:cstheme="minorHAnsi"/>
          <w:sz w:val="24"/>
          <w:szCs w:val="24"/>
        </w:rPr>
      </w:pPr>
      <w:r w:rsidRPr="00DC3EEA">
        <w:rPr>
          <w:rFonts w:asciiTheme="minorHAnsi" w:hAnsiTheme="minorHAnsi" w:cstheme="minorHAnsi"/>
          <w:sz w:val="24"/>
          <w:szCs w:val="24"/>
        </w:rPr>
        <w:t xml:space="preserve">The funding for affordable housing in the SHIP is thus mainly formed through Scottish Government Affordable Housing Supply Programme funding and from contributions from the RSLs. </w:t>
      </w:r>
    </w:p>
    <w:p w14:paraId="5216E2AE" w14:textId="77777777" w:rsidR="00804D2B" w:rsidRPr="00DC3EEA" w:rsidRDefault="00804D2B" w:rsidP="00804D2B">
      <w:pPr>
        <w:jc w:val="both"/>
        <w:rPr>
          <w:rFonts w:asciiTheme="minorHAnsi" w:hAnsiTheme="minorHAnsi" w:cstheme="minorHAnsi"/>
          <w:sz w:val="24"/>
          <w:szCs w:val="24"/>
        </w:rPr>
      </w:pPr>
    </w:p>
    <w:p w14:paraId="53030374" w14:textId="77777777" w:rsidR="00804D2B" w:rsidRPr="00DC3EEA" w:rsidRDefault="00804D2B" w:rsidP="00804D2B">
      <w:pPr>
        <w:jc w:val="both"/>
        <w:rPr>
          <w:rFonts w:asciiTheme="minorHAnsi" w:hAnsiTheme="minorHAnsi" w:cstheme="minorHAnsi"/>
          <w:sz w:val="24"/>
          <w:szCs w:val="24"/>
        </w:rPr>
      </w:pPr>
      <w:r w:rsidRPr="00DC3EEA">
        <w:rPr>
          <w:rFonts w:asciiTheme="minorHAnsi" w:hAnsiTheme="minorHAnsi" w:cstheme="minorHAnsi"/>
          <w:sz w:val="24"/>
          <w:szCs w:val="24"/>
        </w:rPr>
        <w:t xml:space="preserve">However, due to Policy 18 in the proposed LDP stating a requirement for 25% of houses on greenfield housing sites in the Inverclyde villages to be for affordable housing; and also, as Inverclyde Council will be seeking several larger scale developments that will involve private sector housing, this situation may change in the future. </w:t>
      </w:r>
    </w:p>
    <w:p w14:paraId="35A8559A" w14:textId="77777777" w:rsidR="00804D2B" w:rsidRPr="00DC3EEA" w:rsidRDefault="00804D2B" w:rsidP="00804D2B">
      <w:pPr>
        <w:jc w:val="both"/>
        <w:rPr>
          <w:rFonts w:asciiTheme="minorHAnsi" w:hAnsiTheme="minorHAnsi" w:cstheme="minorHAnsi"/>
          <w:sz w:val="24"/>
          <w:szCs w:val="24"/>
        </w:rPr>
      </w:pPr>
    </w:p>
    <w:p w14:paraId="15E8D455" w14:textId="77777777" w:rsidR="00804D2B" w:rsidRPr="00DC3EEA" w:rsidRDefault="00804D2B" w:rsidP="00804D2B">
      <w:pPr>
        <w:jc w:val="both"/>
        <w:rPr>
          <w:rFonts w:asciiTheme="minorHAnsi" w:hAnsiTheme="minorHAnsi" w:cstheme="minorHAnsi"/>
          <w:sz w:val="24"/>
          <w:szCs w:val="24"/>
        </w:rPr>
      </w:pPr>
      <w:r w:rsidRPr="00DC3EEA">
        <w:rPr>
          <w:rFonts w:asciiTheme="minorHAnsi" w:hAnsiTheme="minorHAnsi" w:cstheme="minorHAnsi"/>
          <w:sz w:val="24"/>
          <w:szCs w:val="24"/>
        </w:rPr>
        <w:t xml:space="preserve">Nevertheless, </w:t>
      </w:r>
      <w:r w:rsidRPr="00DC3EEA">
        <w:rPr>
          <w:rFonts w:asciiTheme="minorHAnsi" w:hAnsiTheme="minorHAnsi" w:cstheme="minorHAnsi"/>
          <w:b/>
          <w:bCs/>
          <w:sz w:val="24"/>
          <w:szCs w:val="24"/>
        </w:rPr>
        <w:t>because of the current basic lack of interdependency between delivery of market and affordable housing, the HST at this stage of process shall not be adjusted.</w:t>
      </w:r>
    </w:p>
    <w:p w14:paraId="20267D20" w14:textId="77777777" w:rsidR="00804D2B" w:rsidRDefault="00804D2B" w:rsidP="00804D2B"/>
    <w:p w14:paraId="12FB81F5" w14:textId="51D11C7C" w:rsidR="007B0D6C" w:rsidRDefault="007B0D6C" w:rsidP="000C13FA">
      <w:pPr>
        <w:pStyle w:val="Heading2"/>
      </w:pPr>
      <w:bookmarkStart w:id="12" w:name="_Toc137714792"/>
      <w:r w:rsidRPr="000C13FA">
        <w:t>Availability of resources</w:t>
      </w:r>
      <w:bookmarkEnd w:id="12"/>
      <w:r w:rsidRPr="000C13FA">
        <w:t xml:space="preserve"> </w:t>
      </w:r>
    </w:p>
    <w:p w14:paraId="5B6B8254" w14:textId="4673B43F" w:rsidR="00CB27F8" w:rsidRDefault="00FD7D40" w:rsidP="00CB27F8">
      <w:pPr>
        <w:jc w:val="both"/>
        <w:rPr>
          <w:sz w:val="24"/>
          <w:szCs w:val="24"/>
        </w:rPr>
      </w:pPr>
      <w:r w:rsidRPr="00CB27F8">
        <w:rPr>
          <w:sz w:val="24"/>
          <w:szCs w:val="24"/>
        </w:rPr>
        <w:t xml:space="preserve">Availability of land resources has been established in our Local Development Plan 2021. The spatial strategy </w:t>
      </w:r>
      <w:r w:rsidR="004E31F0" w:rsidRPr="00CB27F8">
        <w:rPr>
          <w:sz w:val="24"/>
          <w:szCs w:val="24"/>
        </w:rPr>
        <w:t xml:space="preserve">sets out a housing land requirement between 2012-2029 which covers capacity for 5070 units (1730 affordable; 3340 private). Although this covers a period which precedes this housing supply target paper and finishes prior to the scope of this paper, it notes that reviews will be taken on a five yearly basis. </w:t>
      </w:r>
    </w:p>
    <w:p w14:paraId="0384AF98" w14:textId="77777777" w:rsidR="00CB27F8" w:rsidRDefault="00CB27F8" w:rsidP="00CB27F8">
      <w:pPr>
        <w:jc w:val="both"/>
        <w:rPr>
          <w:sz w:val="24"/>
          <w:szCs w:val="24"/>
        </w:rPr>
      </w:pPr>
    </w:p>
    <w:p w14:paraId="40048B62" w14:textId="5FD6A5A8" w:rsidR="00CB27F8" w:rsidRDefault="00CB27F8" w:rsidP="00CB27F8">
      <w:pPr>
        <w:jc w:val="both"/>
        <w:rPr>
          <w:sz w:val="24"/>
          <w:szCs w:val="24"/>
        </w:rPr>
      </w:pPr>
      <w:r w:rsidRPr="00CB27F8">
        <w:rPr>
          <w:sz w:val="24"/>
          <w:szCs w:val="24"/>
        </w:rPr>
        <w:t xml:space="preserve">For the purposes of this paper, it </w:t>
      </w:r>
      <w:r>
        <w:rPr>
          <w:sz w:val="24"/>
          <w:szCs w:val="24"/>
        </w:rPr>
        <w:t xml:space="preserve">is </w:t>
      </w:r>
      <w:r w:rsidRPr="00CB27F8">
        <w:rPr>
          <w:sz w:val="24"/>
          <w:szCs w:val="24"/>
        </w:rPr>
        <w:t>sufficient to note the annual housing land requirement</w:t>
      </w:r>
      <w:r>
        <w:rPr>
          <w:sz w:val="24"/>
          <w:szCs w:val="24"/>
        </w:rPr>
        <w:t xml:space="preserve"> set out in the LDP</w:t>
      </w:r>
      <w:r w:rsidRPr="00CB27F8">
        <w:rPr>
          <w:sz w:val="24"/>
          <w:szCs w:val="24"/>
        </w:rPr>
        <w:t xml:space="preserve"> of 298 units per annum (102 affordable; 196 private). </w:t>
      </w:r>
      <w:r w:rsidR="004E31F0" w:rsidRPr="00CB27F8">
        <w:rPr>
          <w:sz w:val="24"/>
          <w:szCs w:val="24"/>
        </w:rPr>
        <w:t xml:space="preserve"> </w:t>
      </w:r>
    </w:p>
    <w:p w14:paraId="1A1C0CB3" w14:textId="1EDDD13C" w:rsidR="00CB27F8" w:rsidRDefault="00CB27F8" w:rsidP="00CB27F8">
      <w:pPr>
        <w:jc w:val="both"/>
        <w:rPr>
          <w:sz w:val="24"/>
          <w:szCs w:val="24"/>
        </w:rPr>
      </w:pPr>
    </w:p>
    <w:p w14:paraId="3EB0B2E1" w14:textId="77AEB7DA" w:rsidR="00CB27F8" w:rsidRDefault="00CB27F8" w:rsidP="00CB27F8">
      <w:pPr>
        <w:jc w:val="both"/>
        <w:rPr>
          <w:sz w:val="24"/>
          <w:szCs w:val="24"/>
        </w:rPr>
      </w:pPr>
      <w:r>
        <w:rPr>
          <w:sz w:val="24"/>
          <w:szCs w:val="24"/>
        </w:rPr>
        <w:t>The annual housing land requirement correlates with what is programmed into the SHIP which programmes 1</w:t>
      </w:r>
      <w:r w:rsidR="001F3C98">
        <w:rPr>
          <w:sz w:val="24"/>
          <w:szCs w:val="24"/>
        </w:rPr>
        <w:t>1</w:t>
      </w:r>
      <w:r>
        <w:rPr>
          <w:sz w:val="24"/>
          <w:szCs w:val="24"/>
        </w:rPr>
        <w:t>8 affordable housing units between 20</w:t>
      </w:r>
      <w:r w:rsidRPr="004E094A">
        <w:rPr>
          <w:sz w:val="24"/>
          <w:szCs w:val="24"/>
        </w:rPr>
        <w:t>23/24-</w:t>
      </w:r>
      <w:r>
        <w:rPr>
          <w:sz w:val="24"/>
          <w:szCs w:val="24"/>
        </w:rPr>
        <w:t>20</w:t>
      </w:r>
      <w:r w:rsidRPr="004E094A">
        <w:rPr>
          <w:sz w:val="24"/>
          <w:szCs w:val="24"/>
        </w:rPr>
        <w:t>27/</w:t>
      </w:r>
      <w:r>
        <w:rPr>
          <w:sz w:val="24"/>
          <w:szCs w:val="24"/>
        </w:rPr>
        <w:t xml:space="preserve">28, which shows that funding is available to fulfil the affordable quotient of land supply. </w:t>
      </w:r>
    </w:p>
    <w:p w14:paraId="6CD59034" w14:textId="580A1313" w:rsidR="00CB27F8" w:rsidRDefault="00CB27F8" w:rsidP="00CB27F8">
      <w:pPr>
        <w:jc w:val="both"/>
        <w:rPr>
          <w:sz w:val="24"/>
          <w:szCs w:val="24"/>
        </w:rPr>
      </w:pPr>
    </w:p>
    <w:p w14:paraId="68D9FEF3" w14:textId="75E2E05A" w:rsidR="00F13603" w:rsidRPr="00F023B8" w:rsidRDefault="00CB27F8" w:rsidP="00F023B8">
      <w:pPr>
        <w:jc w:val="both"/>
        <w:rPr>
          <w:rFonts w:asciiTheme="minorHAnsi" w:hAnsiTheme="minorHAnsi" w:cstheme="minorHAnsi"/>
          <w:sz w:val="24"/>
          <w:szCs w:val="24"/>
        </w:rPr>
      </w:pPr>
      <w:r w:rsidRPr="00F023B8">
        <w:rPr>
          <w:rFonts w:asciiTheme="minorHAnsi" w:hAnsiTheme="minorHAnsi" w:cstheme="minorHAnsi"/>
          <w:sz w:val="24"/>
          <w:szCs w:val="24"/>
        </w:rPr>
        <w:t xml:space="preserve">For understanding resources to be inputted by the private sector; </w:t>
      </w:r>
      <w:r w:rsidR="00F13603" w:rsidRPr="00F023B8">
        <w:rPr>
          <w:rFonts w:asciiTheme="minorHAnsi" w:hAnsiTheme="minorHAnsi" w:cstheme="minorHAnsi"/>
          <w:sz w:val="24"/>
          <w:szCs w:val="24"/>
        </w:rPr>
        <w:t xml:space="preserve">this is somewhat more indeterminate. </w:t>
      </w:r>
      <w:r w:rsidR="00F80727" w:rsidRPr="00F023B8">
        <w:rPr>
          <w:rFonts w:asciiTheme="minorHAnsi" w:hAnsiTheme="minorHAnsi" w:cstheme="minorHAnsi"/>
          <w:sz w:val="24"/>
          <w:szCs w:val="24"/>
        </w:rPr>
        <w:t xml:space="preserve">LHS consultation suggested that Inverclyde is a place of low interest given high development costs (due to topography and contamination) and low house price values. </w:t>
      </w:r>
      <w:r w:rsidR="001F3C98">
        <w:rPr>
          <w:rFonts w:asciiTheme="minorHAnsi" w:hAnsiTheme="minorHAnsi" w:cstheme="minorHAnsi"/>
          <w:sz w:val="24"/>
          <w:szCs w:val="24"/>
        </w:rPr>
        <w:t xml:space="preserve">Consultation with developers </w:t>
      </w:r>
      <w:r w:rsidR="004E240C">
        <w:rPr>
          <w:rFonts w:asciiTheme="minorHAnsi" w:hAnsiTheme="minorHAnsi" w:cstheme="minorHAnsi"/>
          <w:sz w:val="24"/>
          <w:szCs w:val="24"/>
        </w:rPr>
        <w:t>during the</w:t>
      </w:r>
      <w:r w:rsidR="001F3C98">
        <w:rPr>
          <w:rFonts w:asciiTheme="minorHAnsi" w:hAnsiTheme="minorHAnsi" w:cstheme="minorHAnsi"/>
          <w:sz w:val="24"/>
          <w:szCs w:val="24"/>
        </w:rPr>
        <w:t xml:space="preserve"> </w:t>
      </w:r>
      <w:r w:rsidR="001B02CB">
        <w:rPr>
          <w:rFonts w:asciiTheme="minorHAnsi" w:hAnsiTheme="minorHAnsi" w:cstheme="minorHAnsi"/>
          <w:sz w:val="24"/>
          <w:szCs w:val="24"/>
        </w:rPr>
        <w:t xml:space="preserve">development of the </w:t>
      </w:r>
      <w:r w:rsidR="001F3C98">
        <w:rPr>
          <w:rFonts w:asciiTheme="minorHAnsi" w:hAnsiTheme="minorHAnsi" w:cstheme="minorHAnsi"/>
          <w:sz w:val="24"/>
          <w:szCs w:val="24"/>
        </w:rPr>
        <w:t xml:space="preserve">Eastern Gateway </w:t>
      </w:r>
      <w:r w:rsidR="001B02CB">
        <w:rPr>
          <w:rFonts w:asciiTheme="minorHAnsi" w:hAnsiTheme="minorHAnsi" w:cstheme="minorHAnsi"/>
          <w:sz w:val="24"/>
          <w:szCs w:val="24"/>
        </w:rPr>
        <w:t xml:space="preserve">development strategy </w:t>
      </w:r>
      <w:r w:rsidR="001F3C98">
        <w:rPr>
          <w:rFonts w:asciiTheme="minorHAnsi" w:hAnsiTheme="minorHAnsi" w:cstheme="minorHAnsi"/>
          <w:sz w:val="24"/>
          <w:szCs w:val="24"/>
        </w:rPr>
        <w:t>also provided input on barriers to development warranting intervention</w:t>
      </w:r>
      <w:r w:rsidR="001B02CB">
        <w:rPr>
          <w:rFonts w:asciiTheme="minorHAnsi" w:hAnsiTheme="minorHAnsi" w:cstheme="minorHAnsi"/>
          <w:sz w:val="24"/>
          <w:szCs w:val="24"/>
        </w:rPr>
        <w:t>. Perceived barriers</w:t>
      </w:r>
      <w:r w:rsidR="001F3C98">
        <w:rPr>
          <w:rFonts w:asciiTheme="minorHAnsi" w:hAnsiTheme="minorHAnsi" w:cstheme="minorHAnsi"/>
          <w:sz w:val="24"/>
          <w:szCs w:val="24"/>
        </w:rPr>
        <w:t xml:space="preserve"> includ</w:t>
      </w:r>
      <w:r w:rsidR="001B02CB">
        <w:rPr>
          <w:rFonts w:asciiTheme="minorHAnsi" w:hAnsiTheme="minorHAnsi" w:cstheme="minorHAnsi"/>
          <w:sz w:val="24"/>
          <w:szCs w:val="24"/>
        </w:rPr>
        <w:t>ed</w:t>
      </w:r>
      <w:r w:rsidR="001F3C98">
        <w:rPr>
          <w:rFonts w:asciiTheme="minorHAnsi" w:hAnsiTheme="minorHAnsi" w:cstheme="minorHAnsi"/>
          <w:sz w:val="24"/>
          <w:szCs w:val="24"/>
        </w:rPr>
        <w:t xml:space="preserve"> negative perception</w:t>
      </w:r>
      <w:r w:rsidR="001B02CB">
        <w:rPr>
          <w:rFonts w:asciiTheme="minorHAnsi" w:hAnsiTheme="minorHAnsi" w:cstheme="minorHAnsi"/>
          <w:sz w:val="24"/>
          <w:szCs w:val="24"/>
        </w:rPr>
        <w:t>s</w:t>
      </w:r>
      <w:r w:rsidR="001F3C98">
        <w:rPr>
          <w:rFonts w:asciiTheme="minorHAnsi" w:hAnsiTheme="minorHAnsi" w:cstheme="minorHAnsi"/>
          <w:sz w:val="24"/>
          <w:szCs w:val="24"/>
        </w:rPr>
        <w:t xml:space="preserve"> from developers regarding stigma attached to place and issues with topography, land values and ground conditions. </w:t>
      </w:r>
      <w:r w:rsidR="00F13603" w:rsidRPr="00F023B8">
        <w:rPr>
          <w:rFonts w:asciiTheme="minorHAnsi" w:hAnsiTheme="minorHAnsi" w:cstheme="minorHAnsi"/>
          <w:sz w:val="24"/>
          <w:szCs w:val="24"/>
        </w:rPr>
        <w:t xml:space="preserve">To mitigate such challenges discussions are taking place between the Council and developers regarding supporting land parcelling of smaller sites together to support economies of scale and to make the land offer more friendly. </w:t>
      </w:r>
    </w:p>
    <w:p w14:paraId="6F9A83C1" w14:textId="77777777" w:rsidR="00F13603" w:rsidRPr="00F023B8" w:rsidRDefault="00F13603" w:rsidP="00F023B8">
      <w:pPr>
        <w:jc w:val="both"/>
        <w:rPr>
          <w:rFonts w:asciiTheme="minorHAnsi" w:hAnsiTheme="minorHAnsi" w:cstheme="minorHAnsi"/>
          <w:sz w:val="24"/>
          <w:szCs w:val="24"/>
        </w:rPr>
      </w:pPr>
    </w:p>
    <w:p w14:paraId="5107DCCF" w14:textId="211AAF4C" w:rsidR="00F13603" w:rsidRPr="00F023B8" w:rsidRDefault="00F13603" w:rsidP="00E82179">
      <w:pPr>
        <w:spacing w:after="240"/>
        <w:jc w:val="both"/>
        <w:rPr>
          <w:rFonts w:asciiTheme="minorHAnsi" w:hAnsiTheme="minorHAnsi" w:cstheme="minorHAnsi"/>
          <w:sz w:val="24"/>
          <w:szCs w:val="24"/>
        </w:rPr>
      </w:pPr>
      <w:r w:rsidRPr="00F023B8">
        <w:rPr>
          <w:rFonts w:asciiTheme="minorHAnsi" w:hAnsiTheme="minorHAnsi" w:cstheme="minorHAnsi"/>
          <w:sz w:val="24"/>
          <w:szCs w:val="24"/>
        </w:rPr>
        <w:t>In summation</w:t>
      </w:r>
      <w:r w:rsidR="001B02CB">
        <w:rPr>
          <w:rFonts w:asciiTheme="minorHAnsi" w:hAnsiTheme="minorHAnsi" w:cstheme="minorHAnsi"/>
          <w:sz w:val="24"/>
          <w:szCs w:val="24"/>
        </w:rPr>
        <w:t>,</w:t>
      </w:r>
      <w:r w:rsidRPr="00F023B8">
        <w:rPr>
          <w:rFonts w:asciiTheme="minorHAnsi" w:hAnsiTheme="minorHAnsi" w:cstheme="minorHAnsi"/>
          <w:sz w:val="24"/>
          <w:szCs w:val="24"/>
        </w:rPr>
        <w:t xml:space="preserve"> although the land requirement is sufficient to meet our strategic priorities of repopulation, and although our SHIP shows the affordable quotient is met, </w:t>
      </w:r>
      <w:r w:rsidR="00FA2340" w:rsidRPr="00F023B8">
        <w:rPr>
          <w:rFonts w:asciiTheme="minorHAnsi" w:hAnsiTheme="minorHAnsi" w:cstheme="minorHAnsi"/>
          <w:sz w:val="24"/>
          <w:szCs w:val="24"/>
        </w:rPr>
        <w:t xml:space="preserve">the private sector side of the equation is more indeterminate. It is accordingly the judgement here that there should be </w:t>
      </w:r>
      <w:r w:rsidR="00FA2340" w:rsidRPr="00F023B8">
        <w:rPr>
          <w:rFonts w:asciiTheme="minorHAnsi" w:hAnsiTheme="minorHAnsi" w:cstheme="minorHAnsi"/>
          <w:b/>
          <w:bCs/>
          <w:sz w:val="24"/>
          <w:szCs w:val="24"/>
        </w:rPr>
        <w:t xml:space="preserve">no addition or subtraction from the HSTs as established in previous tests. </w:t>
      </w:r>
    </w:p>
    <w:p w14:paraId="402C23CB" w14:textId="6DA07E36" w:rsidR="007B0D6C" w:rsidRPr="00F023B8" w:rsidRDefault="007B0D6C" w:rsidP="00F023B8">
      <w:pPr>
        <w:pStyle w:val="Heading2"/>
        <w:jc w:val="both"/>
        <w:rPr>
          <w:sz w:val="24"/>
          <w:szCs w:val="24"/>
        </w:rPr>
      </w:pPr>
      <w:bookmarkStart w:id="13" w:name="_Toc137714793"/>
      <w:r w:rsidRPr="00F023B8">
        <w:rPr>
          <w:sz w:val="24"/>
          <w:szCs w:val="24"/>
        </w:rPr>
        <w:t>Likely pace and scale of delivery based on completion rates</w:t>
      </w:r>
      <w:bookmarkEnd w:id="13"/>
      <w:r w:rsidRPr="00F023B8">
        <w:rPr>
          <w:sz w:val="24"/>
          <w:szCs w:val="24"/>
        </w:rPr>
        <w:t xml:space="preserve"> </w:t>
      </w:r>
    </w:p>
    <w:p w14:paraId="4116CFBC" w14:textId="0E78DA21" w:rsidR="00473184" w:rsidRPr="00F023B8" w:rsidRDefault="00473184" w:rsidP="00E82179">
      <w:pPr>
        <w:spacing w:after="240"/>
        <w:jc w:val="both"/>
        <w:rPr>
          <w:b/>
          <w:bCs/>
          <w:sz w:val="24"/>
          <w:szCs w:val="24"/>
        </w:rPr>
      </w:pPr>
      <w:r w:rsidRPr="00F023B8">
        <w:rPr>
          <w:sz w:val="24"/>
          <w:szCs w:val="24"/>
        </w:rPr>
        <w:t xml:space="preserve">As shown by table 2 of completion, the pace and scale of delivery rates since the onset of Covid-19 and the subsequent recovery has been varied. To give a more stable indicator of what the pace and scale of delivery on completion rates would look like requires factoring in a longer period, i.e., the entire decade represented in the completion rates. The average rate herein is 197.3 per annum. This accords well with the HST that has been generated in the tests so far at 187.5 per annum. Accordingly, </w:t>
      </w:r>
      <w:r w:rsidRPr="00F023B8">
        <w:rPr>
          <w:b/>
          <w:bCs/>
          <w:sz w:val="24"/>
          <w:szCs w:val="24"/>
        </w:rPr>
        <w:t xml:space="preserve">no adjustment shall be made to the HST in this test. </w:t>
      </w:r>
    </w:p>
    <w:p w14:paraId="69954E56" w14:textId="0966A14A" w:rsidR="001A17F8" w:rsidRPr="00F023B8" w:rsidRDefault="007B0D6C" w:rsidP="00F023B8">
      <w:pPr>
        <w:pStyle w:val="Heading2"/>
        <w:jc w:val="both"/>
        <w:rPr>
          <w:sz w:val="24"/>
          <w:szCs w:val="24"/>
        </w:rPr>
      </w:pPr>
      <w:bookmarkStart w:id="14" w:name="_Toc137714794"/>
      <w:r w:rsidRPr="00F023B8">
        <w:rPr>
          <w:sz w:val="24"/>
          <w:szCs w:val="24"/>
        </w:rPr>
        <w:t>Recent Development Levels</w:t>
      </w:r>
      <w:bookmarkEnd w:id="14"/>
      <w:r w:rsidRPr="00F023B8">
        <w:rPr>
          <w:sz w:val="24"/>
          <w:szCs w:val="24"/>
        </w:rPr>
        <w:t xml:space="preserve"> </w:t>
      </w:r>
    </w:p>
    <w:p w14:paraId="41463A19" w14:textId="0D72926D" w:rsidR="00F80727" w:rsidRPr="00F023B8" w:rsidRDefault="00473184" w:rsidP="00E82179">
      <w:pPr>
        <w:spacing w:after="240"/>
        <w:jc w:val="both"/>
        <w:rPr>
          <w:b/>
          <w:bCs/>
          <w:sz w:val="24"/>
          <w:szCs w:val="24"/>
        </w:rPr>
      </w:pPr>
      <w:r w:rsidRPr="00F023B8">
        <w:rPr>
          <w:sz w:val="24"/>
          <w:szCs w:val="24"/>
        </w:rPr>
        <w:t>In terms of recent development levels, the variation</w:t>
      </w:r>
      <w:r w:rsidR="00F023B8" w:rsidRPr="00F023B8">
        <w:rPr>
          <w:sz w:val="24"/>
          <w:szCs w:val="24"/>
        </w:rPr>
        <w:t xml:space="preserve">s between 2019-2022 can be attributable to Covid-19 slowing down completion rates; the higher figures of 2021-22 including completion of projects. Averaging these figures from 2019-2022 gives us an annual completion rate of 220.5 units. This is significantly higher than the figure over the past decade (187.5) per annum; but not enough time has passed to make any inferences regarding new trends of higher completion rates. As well as requiring more time to get a sense of trends, more analysis would need to be made regarding the drivers of these rates. Furthermore, as discussed in the above section on supply and demand issues, suggests housing market conditions that may be taking a dip. Therefore, the judgement to be made on this test is that </w:t>
      </w:r>
      <w:r w:rsidR="00F023B8" w:rsidRPr="00F023B8">
        <w:rPr>
          <w:b/>
          <w:bCs/>
          <w:sz w:val="24"/>
          <w:szCs w:val="24"/>
        </w:rPr>
        <w:t xml:space="preserve">no adjustment shall be made to the HST. </w:t>
      </w:r>
    </w:p>
    <w:p w14:paraId="772F786A" w14:textId="796F5AB0" w:rsidR="007B0D6C" w:rsidRDefault="00AD7DD7" w:rsidP="00363AD7">
      <w:pPr>
        <w:pStyle w:val="Heading2"/>
      </w:pPr>
      <w:bookmarkStart w:id="15" w:name="_Toc137714795"/>
      <w:r w:rsidRPr="00363AD7">
        <w:t>P</w:t>
      </w:r>
      <w:r w:rsidR="007B0D6C" w:rsidRPr="00363AD7">
        <w:t>lanned replacement housing or housing being brought back into effective use</w:t>
      </w:r>
      <w:bookmarkEnd w:id="15"/>
    </w:p>
    <w:p w14:paraId="24790384" w14:textId="033C2BE3" w:rsidR="00224856" w:rsidRDefault="00363AD7" w:rsidP="00363AD7">
      <w:pPr>
        <w:jc w:val="both"/>
        <w:rPr>
          <w:sz w:val="24"/>
          <w:szCs w:val="24"/>
        </w:rPr>
      </w:pPr>
      <w:r w:rsidRPr="00363AD7">
        <w:rPr>
          <w:sz w:val="24"/>
          <w:szCs w:val="24"/>
        </w:rPr>
        <w:t xml:space="preserve">Empty homes service is dealing with a current stock profile of </w:t>
      </w:r>
      <w:r w:rsidR="00224856" w:rsidRPr="00224856">
        <w:rPr>
          <w:rFonts w:cs="Arial"/>
          <w:noProof/>
          <w:sz w:val="24"/>
          <w:szCs w:val="24"/>
        </w:rPr>
        <w:t>582</w:t>
      </w:r>
      <w:r w:rsidR="00224856">
        <w:rPr>
          <w:rFonts w:cs="Arial"/>
          <w:noProof/>
          <w:sz w:val="24"/>
          <w:szCs w:val="24"/>
        </w:rPr>
        <w:t xml:space="preserve"> long term empty housing units</w:t>
      </w:r>
      <w:r w:rsidR="00224856" w:rsidRPr="00224856">
        <w:rPr>
          <w:rFonts w:cs="Arial"/>
          <w:noProof/>
          <w:sz w:val="24"/>
          <w:szCs w:val="24"/>
        </w:rPr>
        <w:t>.</w:t>
      </w:r>
      <w:r w:rsidR="00224856">
        <w:rPr>
          <w:rFonts w:cs="Arial"/>
          <w:noProof/>
          <w:sz w:val="24"/>
          <w:szCs w:val="24"/>
        </w:rPr>
        <w:t xml:space="preserve"> </w:t>
      </w:r>
      <w:r w:rsidR="00A478EF">
        <w:rPr>
          <w:sz w:val="24"/>
          <w:szCs w:val="24"/>
        </w:rPr>
        <w:t>In the duration of the previous LHS th</w:t>
      </w:r>
      <w:r w:rsidR="00224856">
        <w:rPr>
          <w:sz w:val="24"/>
          <w:szCs w:val="24"/>
        </w:rPr>
        <w:t>is</w:t>
      </w:r>
      <w:r w:rsidR="00A478EF">
        <w:rPr>
          <w:sz w:val="24"/>
          <w:szCs w:val="24"/>
        </w:rPr>
        <w:t xml:space="preserve"> figure</w:t>
      </w:r>
      <w:r w:rsidR="00224856">
        <w:rPr>
          <w:sz w:val="24"/>
          <w:szCs w:val="24"/>
        </w:rPr>
        <w:t xml:space="preserve"> has been reduced from 649 – a decrease of 10.5 per cent. The average rate of homes being brought into use per annum then is around 11. Whilst the reduction of empty homes is an important strategic priority the number of units involved, and the rate of turnover </w:t>
      </w:r>
      <w:r w:rsidR="00224856" w:rsidRPr="004E240C">
        <w:rPr>
          <w:b/>
          <w:bCs/>
          <w:sz w:val="24"/>
          <w:szCs w:val="24"/>
        </w:rPr>
        <w:t>does not warrant adding to the housing supply target</w:t>
      </w:r>
      <w:r w:rsidR="00224856">
        <w:rPr>
          <w:sz w:val="24"/>
          <w:szCs w:val="24"/>
        </w:rPr>
        <w:t xml:space="preserve">. </w:t>
      </w:r>
    </w:p>
    <w:p w14:paraId="00BF481E" w14:textId="77777777" w:rsidR="00224856" w:rsidRDefault="00224856" w:rsidP="00363AD7">
      <w:pPr>
        <w:jc w:val="both"/>
        <w:rPr>
          <w:sz w:val="24"/>
          <w:szCs w:val="24"/>
        </w:rPr>
      </w:pPr>
    </w:p>
    <w:p w14:paraId="602C7C82" w14:textId="45D6D2FB" w:rsidR="00363AD7" w:rsidRPr="00363AD7" w:rsidRDefault="00224856" w:rsidP="00AC37D4">
      <w:pPr>
        <w:spacing w:after="240"/>
        <w:jc w:val="both"/>
        <w:rPr>
          <w:sz w:val="24"/>
          <w:szCs w:val="24"/>
        </w:rPr>
      </w:pPr>
      <w:r>
        <w:rPr>
          <w:sz w:val="24"/>
          <w:szCs w:val="24"/>
        </w:rPr>
        <w:t>In addition, the</w:t>
      </w:r>
      <w:r w:rsidR="007F6820">
        <w:rPr>
          <w:sz w:val="24"/>
          <w:szCs w:val="24"/>
        </w:rPr>
        <w:t>re</w:t>
      </w:r>
      <w:r>
        <w:rPr>
          <w:sz w:val="24"/>
          <w:szCs w:val="24"/>
        </w:rPr>
        <w:t xml:space="preserve"> is the </w:t>
      </w:r>
      <w:r w:rsidR="00363AD7" w:rsidRPr="00363AD7">
        <w:rPr>
          <w:sz w:val="24"/>
          <w:szCs w:val="24"/>
        </w:rPr>
        <w:t xml:space="preserve">Clune park regeneration </w:t>
      </w:r>
      <w:r>
        <w:rPr>
          <w:sz w:val="24"/>
          <w:szCs w:val="24"/>
        </w:rPr>
        <w:t xml:space="preserve">where there is a masterplan to be developed. The numbers are still to be determined but discussions suggest that the number of units to be developed </w:t>
      </w:r>
      <w:r w:rsidR="003D0501">
        <w:rPr>
          <w:sz w:val="24"/>
          <w:szCs w:val="24"/>
        </w:rPr>
        <w:t>will be up to 120 units depending on what house types are decided are the optimal mix.</w:t>
      </w:r>
      <w:r>
        <w:rPr>
          <w:sz w:val="24"/>
          <w:szCs w:val="24"/>
        </w:rPr>
        <w:t xml:space="preserve"> Because these are accounted for in the SHIP there should be </w:t>
      </w:r>
      <w:r w:rsidRPr="00696974">
        <w:rPr>
          <w:b/>
          <w:bCs/>
          <w:sz w:val="24"/>
          <w:szCs w:val="24"/>
        </w:rPr>
        <w:t xml:space="preserve">no addition to the housing supply target </w:t>
      </w:r>
      <w:r>
        <w:rPr>
          <w:sz w:val="24"/>
          <w:szCs w:val="24"/>
        </w:rPr>
        <w:t xml:space="preserve">as these are already accounted for. </w:t>
      </w:r>
    </w:p>
    <w:p w14:paraId="653C6881" w14:textId="1844644F" w:rsidR="003F15B3" w:rsidRDefault="003F15B3" w:rsidP="00363AD7">
      <w:pPr>
        <w:pStyle w:val="Heading2"/>
      </w:pPr>
      <w:bookmarkStart w:id="16" w:name="_Toc137714796"/>
      <w:r w:rsidRPr="00363AD7">
        <w:t>Planned demolitions</w:t>
      </w:r>
      <w:bookmarkEnd w:id="16"/>
      <w:r w:rsidRPr="00363AD7">
        <w:t xml:space="preserve"> </w:t>
      </w:r>
    </w:p>
    <w:p w14:paraId="3B75BF4A" w14:textId="06DF03D8" w:rsidR="00224856" w:rsidRDefault="00224856" w:rsidP="00363AD7">
      <w:pPr>
        <w:pStyle w:val="Headings"/>
        <w:jc w:val="both"/>
        <w:rPr>
          <w:sz w:val="24"/>
          <w:szCs w:val="24"/>
        </w:rPr>
      </w:pPr>
      <w:r>
        <w:rPr>
          <w:sz w:val="24"/>
          <w:szCs w:val="24"/>
        </w:rPr>
        <w:t>The current planned d</w:t>
      </w:r>
      <w:r w:rsidR="00363AD7" w:rsidRPr="00363AD7">
        <w:rPr>
          <w:sz w:val="24"/>
          <w:szCs w:val="24"/>
        </w:rPr>
        <w:t xml:space="preserve">emolitions </w:t>
      </w:r>
      <w:r>
        <w:rPr>
          <w:sz w:val="24"/>
          <w:szCs w:val="24"/>
        </w:rPr>
        <w:t xml:space="preserve">are all related to the restructuring of our current social rented stock profile. Because of this </w:t>
      </w:r>
      <w:r w:rsidR="00696974">
        <w:rPr>
          <w:sz w:val="24"/>
          <w:szCs w:val="24"/>
        </w:rPr>
        <w:t xml:space="preserve">the </w:t>
      </w:r>
      <w:r>
        <w:rPr>
          <w:sz w:val="24"/>
          <w:szCs w:val="24"/>
        </w:rPr>
        <w:t xml:space="preserve">planned demolitions closely follow the </w:t>
      </w:r>
      <w:r w:rsidR="00696974">
        <w:rPr>
          <w:sz w:val="24"/>
          <w:szCs w:val="24"/>
        </w:rPr>
        <w:t xml:space="preserve">patterns established in the SHIP and reflect the already present housing need in Inverclyde. As such, </w:t>
      </w:r>
      <w:r w:rsidR="00696974" w:rsidRPr="00696974">
        <w:rPr>
          <w:b/>
          <w:bCs/>
          <w:sz w:val="24"/>
          <w:szCs w:val="24"/>
        </w:rPr>
        <w:t xml:space="preserve">they do not warrant adding to the housing supply target </w:t>
      </w:r>
      <w:r w:rsidR="00696974">
        <w:rPr>
          <w:b/>
          <w:bCs/>
          <w:sz w:val="24"/>
          <w:szCs w:val="24"/>
        </w:rPr>
        <w:t xml:space="preserve">as already established in this document. </w:t>
      </w:r>
    </w:p>
    <w:p w14:paraId="0E7C6B91" w14:textId="35A31DB5" w:rsidR="003F15B3" w:rsidRPr="00363AD7" w:rsidRDefault="003F15B3" w:rsidP="00363AD7">
      <w:pPr>
        <w:pStyle w:val="Heading1"/>
      </w:pPr>
      <w:bookmarkStart w:id="17" w:name="_Toc137714797"/>
      <w:r w:rsidRPr="00363AD7">
        <w:t>Inverclyde</w:t>
      </w:r>
      <w:r w:rsidR="00683D0E" w:rsidRPr="00363AD7">
        <w:t>’</w:t>
      </w:r>
      <w:r w:rsidRPr="00363AD7">
        <w:t xml:space="preserve">s </w:t>
      </w:r>
      <w:r w:rsidR="00683D0E" w:rsidRPr="00363AD7">
        <w:t>H</w:t>
      </w:r>
      <w:r w:rsidRPr="00363AD7">
        <w:t xml:space="preserve">ousing </w:t>
      </w:r>
      <w:r w:rsidR="00683D0E" w:rsidRPr="00363AD7">
        <w:t>S</w:t>
      </w:r>
      <w:r w:rsidRPr="00363AD7">
        <w:t xml:space="preserve">upply </w:t>
      </w:r>
      <w:r w:rsidR="00683D0E" w:rsidRPr="00363AD7">
        <w:t>T</w:t>
      </w:r>
      <w:r w:rsidRPr="00363AD7">
        <w:t>arget</w:t>
      </w:r>
      <w:bookmarkEnd w:id="17"/>
      <w:r w:rsidRPr="00363AD7">
        <w:t xml:space="preserve"> </w:t>
      </w:r>
    </w:p>
    <w:p w14:paraId="341A2767" w14:textId="4797A1B0" w:rsidR="00696974" w:rsidRDefault="00696974" w:rsidP="00696974">
      <w:pPr>
        <w:spacing w:after="240"/>
        <w:jc w:val="both"/>
        <w:rPr>
          <w:b/>
          <w:bCs/>
          <w:sz w:val="24"/>
          <w:szCs w:val="24"/>
        </w:rPr>
      </w:pPr>
      <w:r>
        <w:rPr>
          <w:sz w:val="24"/>
          <w:szCs w:val="24"/>
        </w:rPr>
        <w:t>Having now discussed both the policy focus of repopulation, setting the baseline based on HNDA, MATHLR, and completions (set at 25% below MATHLR), and then applying the practical tests (including what is programmed into the SHIP) to our baseline, we have arrived at a housing supply target that sits 25% above the MATHLR, at</w:t>
      </w:r>
      <w:r>
        <w:rPr>
          <w:b/>
          <w:bCs/>
          <w:sz w:val="24"/>
          <w:szCs w:val="24"/>
        </w:rPr>
        <w:t xml:space="preserve"> 1875 units over 10 years or 187</w:t>
      </w:r>
      <w:r w:rsidR="00406A4C">
        <w:rPr>
          <w:b/>
          <w:bCs/>
          <w:sz w:val="24"/>
          <w:szCs w:val="24"/>
        </w:rPr>
        <w:t>.5</w:t>
      </w:r>
      <w:r>
        <w:rPr>
          <w:b/>
          <w:bCs/>
          <w:sz w:val="24"/>
          <w:szCs w:val="24"/>
        </w:rPr>
        <w:t xml:space="preserve"> per annum. </w:t>
      </w:r>
    </w:p>
    <w:p w14:paraId="33B09764" w14:textId="73E82A88" w:rsidR="00573946" w:rsidRDefault="004A1E58" w:rsidP="00696974">
      <w:pPr>
        <w:spacing w:after="240"/>
        <w:jc w:val="both"/>
        <w:rPr>
          <w:sz w:val="24"/>
          <w:szCs w:val="24"/>
        </w:rPr>
      </w:pPr>
      <w:r>
        <w:rPr>
          <w:sz w:val="24"/>
          <w:szCs w:val="24"/>
        </w:rPr>
        <w:t xml:space="preserve">In terms of how the housing supply target will support policy aspirations, throughout this document it has been noted that for the social rented sector there is a shift to </w:t>
      </w:r>
      <w:r w:rsidR="00EA568F">
        <w:rPr>
          <w:sz w:val="24"/>
          <w:szCs w:val="24"/>
        </w:rPr>
        <w:t xml:space="preserve">a </w:t>
      </w:r>
      <w:r>
        <w:rPr>
          <w:sz w:val="24"/>
          <w:szCs w:val="24"/>
        </w:rPr>
        <w:t xml:space="preserve">regeneration agenda rather than </w:t>
      </w:r>
      <w:r w:rsidR="00F55927">
        <w:rPr>
          <w:sz w:val="24"/>
          <w:szCs w:val="24"/>
        </w:rPr>
        <w:t xml:space="preserve">the previous </w:t>
      </w:r>
      <w:r>
        <w:rPr>
          <w:sz w:val="24"/>
          <w:szCs w:val="24"/>
        </w:rPr>
        <w:t>absolute supply growth</w:t>
      </w:r>
      <w:r w:rsidR="00F55927">
        <w:rPr>
          <w:sz w:val="24"/>
          <w:szCs w:val="24"/>
        </w:rPr>
        <w:t xml:space="preserve"> agenda. This shift to regeneration is</w:t>
      </w:r>
      <w:r>
        <w:rPr>
          <w:sz w:val="24"/>
          <w:szCs w:val="24"/>
        </w:rPr>
        <w:t xml:space="preserve"> reflected in the LHS and </w:t>
      </w:r>
      <w:r w:rsidR="00EA568F">
        <w:rPr>
          <w:sz w:val="24"/>
          <w:szCs w:val="24"/>
        </w:rPr>
        <w:t xml:space="preserve">will do so for future </w:t>
      </w:r>
      <w:r>
        <w:rPr>
          <w:sz w:val="24"/>
          <w:szCs w:val="24"/>
        </w:rPr>
        <w:t xml:space="preserve">SHIPs within </w:t>
      </w:r>
      <w:r w:rsidR="00EA568F">
        <w:rPr>
          <w:sz w:val="24"/>
          <w:szCs w:val="24"/>
        </w:rPr>
        <w:t xml:space="preserve">the LHS </w:t>
      </w:r>
      <w:r>
        <w:rPr>
          <w:sz w:val="24"/>
          <w:szCs w:val="24"/>
        </w:rPr>
        <w:t>time horizon</w:t>
      </w:r>
      <w:r w:rsidR="00EA568F">
        <w:rPr>
          <w:sz w:val="24"/>
          <w:szCs w:val="24"/>
        </w:rPr>
        <w:t xml:space="preserve"> (2023-2028)</w:t>
      </w:r>
      <w:r>
        <w:rPr>
          <w:sz w:val="24"/>
          <w:szCs w:val="24"/>
        </w:rPr>
        <w:t xml:space="preserve">. Moreover, as set by the Inverclyde Alliance there is a general shift for housing policy to support a repopulation agenda that requires the expansion of private sector tenures. The growth of private sector stock can also be supported through the innovative use of AHSP funding for tenures suited for young people such as </w:t>
      </w:r>
      <w:r w:rsidR="008A2513">
        <w:rPr>
          <w:sz w:val="24"/>
          <w:szCs w:val="24"/>
        </w:rPr>
        <w:t>Mid-Market</w:t>
      </w:r>
      <w:r>
        <w:rPr>
          <w:sz w:val="24"/>
          <w:szCs w:val="24"/>
        </w:rPr>
        <w:t xml:space="preserve"> Rent and New Supplied Shared Equity. This is because such tenures bear a closer relation to market allocations than social rented allocations and can therefore send market signals to private developers for regenerated areas</w:t>
      </w:r>
      <w:r w:rsidR="00F55927">
        <w:rPr>
          <w:sz w:val="24"/>
          <w:szCs w:val="24"/>
        </w:rPr>
        <w:t xml:space="preserve"> in a way that social rented tenure developments cannot</w:t>
      </w:r>
      <w:r>
        <w:rPr>
          <w:sz w:val="24"/>
          <w:szCs w:val="24"/>
        </w:rPr>
        <w:t xml:space="preserve">. </w:t>
      </w:r>
    </w:p>
    <w:p w14:paraId="1F22B8CD" w14:textId="6746158E" w:rsidR="004A1E58" w:rsidRDefault="004A1E58" w:rsidP="00696974">
      <w:pPr>
        <w:spacing w:after="240"/>
        <w:jc w:val="both"/>
        <w:rPr>
          <w:sz w:val="24"/>
          <w:szCs w:val="24"/>
        </w:rPr>
      </w:pPr>
      <w:r>
        <w:rPr>
          <w:sz w:val="24"/>
          <w:szCs w:val="24"/>
        </w:rPr>
        <w:t xml:space="preserve">Because of such considerations then, the housing supply targets should note the pivot towards private sector housing over the next decade. </w:t>
      </w:r>
      <w:r w:rsidR="00573946">
        <w:rPr>
          <w:sz w:val="24"/>
          <w:szCs w:val="24"/>
        </w:rPr>
        <w:t xml:space="preserve">Towards that end this paper proposes that </w:t>
      </w:r>
      <w:r w:rsidR="00573946" w:rsidRPr="001C41A8">
        <w:rPr>
          <w:b/>
          <w:bCs/>
          <w:sz w:val="24"/>
          <w:szCs w:val="24"/>
        </w:rPr>
        <w:t>the 1875 units over the decade should be split of a ratio of 60% private sector units to 40% affordable housing units</w:t>
      </w:r>
      <w:r w:rsidR="00573946">
        <w:rPr>
          <w:sz w:val="24"/>
          <w:szCs w:val="24"/>
        </w:rPr>
        <w:t xml:space="preserve"> where </w:t>
      </w:r>
      <w:r w:rsidR="00EA568F">
        <w:rPr>
          <w:sz w:val="24"/>
          <w:szCs w:val="24"/>
        </w:rPr>
        <w:t>‘</w:t>
      </w:r>
      <w:r w:rsidR="00573946">
        <w:rPr>
          <w:sz w:val="24"/>
          <w:szCs w:val="24"/>
        </w:rPr>
        <w:t>affordable housing</w:t>
      </w:r>
      <w:r w:rsidR="00EA568F">
        <w:rPr>
          <w:sz w:val="24"/>
          <w:szCs w:val="24"/>
        </w:rPr>
        <w:t>’</w:t>
      </w:r>
      <w:r w:rsidR="00573946">
        <w:rPr>
          <w:sz w:val="24"/>
          <w:szCs w:val="24"/>
        </w:rPr>
        <w:t xml:space="preserve"> refers to social rented units and other tenures</w:t>
      </w:r>
      <w:r w:rsidR="00EA568F">
        <w:rPr>
          <w:sz w:val="24"/>
          <w:szCs w:val="24"/>
        </w:rPr>
        <w:t xml:space="preserve"> delivered</w:t>
      </w:r>
      <w:r w:rsidR="00573946">
        <w:rPr>
          <w:sz w:val="24"/>
          <w:szCs w:val="24"/>
        </w:rPr>
        <w:t xml:space="preserve"> through the </w:t>
      </w:r>
      <w:r w:rsidR="00EA568F">
        <w:rPr>
          <w:sz w:val="24"/>
          <w:szCs w:val="24"/>
        </w:rPr>
        <w:t>AHSP</w:t>
      </w:r>
      <w:r w:rsidR="00573946">
        <w:rPr>
          <w:sz w:val="24"/>
          <w:szCs w:val="24"/>
        </w:rPr>
        <w:t xml:space="preserve">.  Beyond setting these broad targets this paper will not provide an annual basis for how these targets should be met as this would be too restrictive; rather the HSTs </w:t>
      </w:r>
      <w:r w:rsidR="001C41A8">
        <w:rPr>
          <w:sz w:val="24"/>
          <w:szCs w:val="24"/>
        </w:rPr>
        <w:t xml:space="preserve">as </w:t>
      </w:r>
      <w:r w:rsidR="00573946">
        <w:rPr>
          <w:sz w:val="24"/>
          <w:szCs w:val="24"/>
        </w:rPr>
        <w:t>set out here are to support innovative regeneration strategies, not stifle them.</w:t>
      </w:r>
    </w:p>
    <w:p w14:paraId="61E766F7" w14:textId="765B7E8F" w:rsidR="006A0C0E" w:rsidRPr="00AC37D4" w:rsidRDefault="006A0C0E" w:rsidP="006A0C0E">
      <w:pPr>
        <w:pStyle w:val="Caption"/>
        <w:keepNext/>
        <w:rPr>
          <w:sz w:val="22"/>
          <w:szCs w:val="22"/>
        </w:rPr>
      </w:pPr>
      <w:r w:rsidRPr="00AC37D4">
        <w:rPr>
          <w:sz w:val="22"/>
          <w:szCs w:val="22"/>
        </w:rPr>
        <w:t xml:space="preserve">Table </w:t>
      </w:r>
      <w:r w:rsidR="008A5FFB" w:rsidRPr="00AC37D4">
        <w:rPr>
          <w:sz w:val="22"/>
          <w:szCs w:val="22"/>
        </w:rPr>
        <w:fldChar w:fldCharType="begin"/>
      </w:r>
      <w:r w:rsidR="008A5FFB" w:rsidRPr="00AC37D4">
        <w:rPr>
          <w:sz w:val="22"/>
          <w:szCs w:val="22"/>
        </w:rPr>
        <w:instrText xml:space="preserve"> SEQ Table \* ARABIC </w:instrText>
      </w:r>
      <w:r w:rsidR="008A5FFB" w:rsidRPr="00AC37D4">
        <w:rPr>
          <w:sz w:val="22"/>
          <w:szCs w:val="22"/>
        </w:rPr>
        <w:fldChar w:fldCharType="separate"/>
      </w:r>
      <w:r w:rsidRPr="00AC37D4">
        <w:rPr>
          <w:noProof/>
          <w:sz w:val="22"/>
          <w:szCs w:val="22"/>
        </w:rPr>
        <w:t>3</w:t>
      </w:r>
      <w:r w:rsidR="008A5FFB" w:rsidRPr="00AC37D4">
        <w:rPr>
          <w:noProof/>
          <w:sz w:val="22"/>
          <w:szCs w:val="22"/>
        </w:rPr>
        <w:fldChar w:fldCharType="end"/>
      </w:r>
      <w:r w:rsidRPr="00AC37D4">
        <w:rPr>
          <w:sz w:val="22"/>
          <w:szCs w:val="22"/>
        </w:rPr>
        <w:t xml:space="preserve"> Housing Supply Targets and Tenure Breakdown</w:t>
      </w:r>
    </w:p>
    <w:tbl>
      <w:tblPr>
        <w:tblStyle w:val="TableGridLight"/>
        <w:tblW w:w="0" w:type="auto"/>
        <w:tblLook w:val="04A0" w:firstRow="1" w:lastRow="0" w:firstColumn="1" w:lastColumn="0" w:noHBand="0" w:noVBand="1"/>
      </w:tblPr>
      <w:tblGrid>
        <w:gridCol w:w="4508"/>
        <w:gridCol w:w="4508"/>
      </w:tblGrid>
      <w:tr w:rsidR="006A0C0E" w14:paraId="4C22F012" w14:textId="77777777" w:rsidTr="00AC37D4">
        <w:tc>
          <w:tcPr>
            <w:tcW w:w="4508" w:type="dxa"/>
            <w:shd w:val="clear" w:color="auto" w:fill="1F3864" w:themeFill="accent1" w:themeFillShade="80"/>
          </w:tcPr>
          <w:p w14:paraId="0A838328" w14:textId="281EB3FA" w:rsidR="006A0C0E" w:rsidRPr="00AC37D4" w:rsidRDefault="006A0C0E" w:rsidP="006A0C0E">
            <w:pPr>
              <w:spacing w:after="240"/>
              <w:jc w:val="center"/>
              <w:rPr>
                <w:b/>
                <w:bCs/>
                <w:sz w:val="24"/>
                <w:szCs w:val="24"/>
              </w:rPr>
            </w:pPr>
            <w:r w:rsidRPr="00AC37D4">
              <w:rPr>
                <w:b/>
                <w:bCs/>
                <w:sz w:val="24"/>
                <w:szCs w:val="24"/>
              </w:rPr>
              <w:t>Housing Supply Targets 2023-2033</w:t>
            </w:r>
          </w:p>
        </w:tc>
        <w:tc>
          <w:tcPr>
            <w:tcW w:w="4508" w:type="dxa"/>
            <w:shd w:val="clear" w:color="auto" w:fill="1F3864" w:themeFill="accent1" w:themeFillShade="80"/>
          </w:tcPr>
          <w:p w14:paraId="724B41A9" w14:textId="79C1BDC6" w:rsidR="006A0C0E" w:rsidRPr="00AC37D4" w:rsidRDefault="006A0C0E" w:rsidP="006A0C0E">
            <w:pPr>
              <w:spacing w:after="240"/>
              <w:jc w:val="center"/>
              <w:rPr>
                <w:b/>
                <w:bCs/>
                <w:sz w:val="24"/>
                <w:szCs w:val="24"/>
              </w:rPr>
            </w:pPr>
            <w:r w:rsidRPr="00AC37D4">
              <w:rPr>
                <w:b/>
                <w:bCs/>
                <w:sz w:val="24"/>
                <w:szCs w:val="24"/>
              </w:rPr>
              <w:t>Tenure Breakdown</w:t>
            </w:r>
          </w:p>
        </w:tc>
      </w:tr>
      <w:tr w:rsidR="006A0C0E" w14:paraId="01D84553" w14:textId="77777777" w:rsidTr="006A0C0E">
        <w:tc>
          <w:tcPr>
            <w:tcW w:w="4508" w:type="dxa"/>
          </w:tcPr>
          <w:p w14:paraId="7360D028" w14:textId="56D9C901" w:rsidR="006A0C0E" w:rsidRDefault="006A0C0E" w:rsidP="006A0C0E">
            <w:pPr>
              <w:spacing w:after="240"/>
              <w:jc w:val="center"/>
              <w:rPr>
                <w:sz w:val="24"/>
                <w:szCs w:val="24"/>
              </w:rPr>
            </w:pPr>
            <w:r>
              <w:rPr>
                <w:sz w:val="24"/>
                <w:szCs w:val="24"/>
              </w:rPr>
              <w:t>1875 units</w:t>
            </w:r>
          </w:p>
        </w:tc>
        <w:tc>
          <w:tcPr>
            <w:tcW w:w="4508" w:type="dxa"/>
          </w:tcPr>
          <w:p w14:paraId="641E84C4" w14:textId="245C0893" w:rsidR="006A0C0E" w:rsidRDefault="006A0C0E" w:rsidP="006A0C0E">
            <w:pPr>
              <w:spacing w:after="240"/>
              <w:jc w:val="center"/>
              <w:rPr>
                <w:sz w:val="24"/>
                <w:szCs w:val="24"/>
              </w:rPr>
            </w:pPr>
            <w:r>
              <w:rPr>
                <w:sz w:val="24"/>
                <w:szCs w:val="24"/>
              </w:rPr>
              <w:t>60% Private Sector; 40% Affordable</w:t>
            </w:r>
          </w:p>
        </w:tc>
      </w:tr>
    </w:tbl>
    <w:p w14:paraId="356C0629" w14:textId="41391F60" w:rsidR="00F82BB2" w:rsidRDefault="001C41A8" w:rsidP="008A2513">
      <w:pPr>
        <w:pStyle w:val="Heading1"/>
      </w:pPr>
      <w:bookmarkStart w:id="18" w:name="_Toc137714798"/>
      <w:bookmarkEnd w:id="0"/>
      <w:r>
        <w:t>Conclusion</w:t>
      </w:r>
      <w:bookmarkEnd w:id="18"/>
      <w:r>
        <w:t xml:space="preserve"> </w:t>
      </w:r>
    </w:p>
    <w:p w14:paraId="47757659" w14:textId="0408C4D4" w:rsidR="001C41A8" w:rsidRPr="001C41A8" w:rsidRDefault="001C41A8" w:rsidP="001C41A8">
      <w:pPr>
        <w:jc w:val="both"/>
        <w:rPr>
          <w:sz w:val="24"/>
          <w:szCs w:val="24"/>
        </w:rPr>
      </w:pPr>
      <w:r w:rsidRPr="001C41A8">
        <w:rPr>
          <w:sz w:val="24"/>
          <w:szCs w:val="24"/>
        </w:rPr>
        <w:t>Having con</w:t>
      </w:r>
      <w:r>
        <w:rPr>
          <w:sz w:val="24"/>
          <w:szCs w:val="24"/>
        </w:rPr>
        <w:t xml:space="preserve">sidered Inverclyde’s policy aspirations for housing supply growth along with practical considerations that affect delivery </w:t>
      </w:r>
      <w:r w:rsidR="001A2F71">
        <w:rPr>
          <w:sz w:val="24"/>
          <w:szCs w:val="24"/>
        </w:rPr>
        <w:t>of</w:t>
      </w:r>
      <w:r>
        <w:rPr>
          <w:sz w:val="24"/>
          <w:szCs w:val="24"/>
        </w:rPr>
        <w:t xml:space="preserve"> housing supply</w:t>
      </w:r>
      <w:r w:rsidR="001A2F71">
        <w:rPr>
          <w:sz w:val="24"/>
          <w:szCs w:val="24"/>
        </w:rPr>
        <w:t>, the housing supply targets</w:t>
      </w:r>
      <w:r>
        <w:rPr>
          <w:sz w:val="24"/>
          <w:szCs w:val="24"/>
        </w:rPr>
        <w:t xml:space="preserve"> for the next decade </w:t>
      </w:r>
      <w:r w:rsidR="001A2F71">
        <w:rPr>
          <w:sz w:val="24"/>
          <w:szCs w:val="24"/>
        </w:rPr>
        <w:t xml:space="preserve">has been set </w:t>
      </w:r>
      <w:r>
        <w:rPr>
          <w:sz w:val="24"/>
          <w:szCs w:val="24"/>
        </w:rPr>
        <w:t xml:space="preserve">at 1875 units or 187.5 units per annum. These are to be delivered in a ratio of 60% private sector housing along with 40% affordable housing tenures </w:t>
      </w:r>
      <w:r w:rsidR="00482CFF">
        <w:rPr>
          <w:sz w:val="24"/>
          <w:szCs w:val="24"/>
        </w:rPr>
        <w:t xml:space="preserve">which is inclusive of </w:t>
      </w:r>
      <w:r>
        <w:rPr>
          <w:sz w:val="24"/>
          <w:szCs w:val="24"/>
        </w:rPr>
        <w:t xml:space="preserve">social rented, </w:t>
      </w:r>
      <w:r w:rsidR="001A2F71">
        <w:rPr>
          <w:sz w:val="24"/>
          <w:szCs w:val="24"/>
        </w:rPr>
        <w:t>mid-market</w:t>
      </w:r>
      <w:r>
        <w:rPr>
          <w:sz w:val="24"/>
          <w:szCs w:val="24"/>
        </w:rPr>
        <w:t xml:space="preserve"> rent, and new supplied shared equity models.  </w:t>
      </w:r>
    </w:p>
    <w:sectPr w:rsidR="001C41A8" w:rsidRPr="001C41A8" w:rsidSect="00AC37D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362B6" w14:textId="77777777" w:rsidR="00561F2F" w:rsidRDefault="00561F2F" w:rsidP="003C41FA">
      <w:r>
        <w:separator/>
      </w:r>
    </w:p>
  </w:endnote>
  <w:endnote w:type="continuationSeparator" w:id="0">
    <w:p w14:paraId="692CF159" w14:textId="77777777" w:rsidR="00561F2F" w:rsidRDefault="00561F2F" w:rsidP="003C4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215562"/>
      <w:docPartObj>
        <w:docPartGallery w:val="Page Numbers (Bottom of Page)"/>
        <w:docPartUnique/>
      </w:docPartObj>
    </w:sdtPr>
    <w:sdtEndPr/>
    <w:sdtContent>
      <w:p w14:paraId="7FBBAB8C" w14:textId="15F02137" w:rsidR="00AC37D4" w:rsidRDefault="00AC37D4">
        <w:pPr>
          <w:pStyle w:val="Footer"/>
          <w:jc w:val="right"/>
        </w:pPr>
        <w:r>
          <w:fldChar w:fldCharType="begin"/>
        </w:r>
        <w:r>
          <w:instrText>PAGE   \* MERGEFORMAT</w:instrText>
        </w:r>
        <w:r>
          <w:fldChar w:fldCharType="separate"/>
        </w:r>
        <w:r>
          <w:t>2</w:t>
        </w:r>
        <w:r>
          <w:fldChar w:fldCharType="end"/>
        </w:r>
      </w:p>
    </w:sdtContent>
  </w:sdt>
  <w:p w14:paraId="4091FD34" w14:textId="77777777" w:rsidR="00AC37D4" w:rsidRDefault="00AC3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040801"/>
      <w:docPartObj>
        <w:docPartGallery w:val="Page Numbers (Bottom of Page)"/>
        <w:docPartUnique/>
      </w:docPartObj>
    </w:sdtPr>
    <w:sdtEndPr/>
    <w:sdtContent>
      <w:p w14:paraId="24174CD9" w14:textId="55029B51" w:rsidR="00AC37D4" w:rsidRDefault="00AC37D4">
        <w:pPr>
          <w:pStyle w:val="Footer"/>
          <w:jc w:val="right"/>
        </w:pPr>
        <w:r>
          <w:fldChar w:fldCharType="begin"/>
        </w:r>
        <w:r>
          <w:instrText>PAGE   \* MERGEFORMAT</w:instrText>
        </w:r>
        <w:r>
          <w:fldChar w:fldCharType="separate"/>
        </w:r>
        <w:r>
          <w:t>2</w:t>
        </w:r>
        <w:r>
          <w:fldChar w:fldCharType="end"/>
        </w:r>
      </w:p>
    </w:sdtContent>
  </w:sdt>
  <w:p w14:paraId="7AA842CB" w14:textId="77777777" w:rsidR="00AC37D4" w:rsidRDefault="00AC3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42486" w14:textId="77777777" w:rsidR="00561F2F" w:rsidRDefault="00561F2F" w:rsidP="003C41FA">
      <w:r>
        <w:separator/>
      </w:r>
    </w:p>
  </w:footnote>
  <w:footnote w:type="continuationSeparator" w:id="0">
    <w:p w14:paraId="55BC7AE9" w14:textId="77777777" w:rsidR="00561F2F" w:rsidRDefault="00561F2F" w:rsidP="003C41FA">
      <w:r>
        <w:continuationSeparator/>
      </w:r>
    </w:p>
  </w:footnote>
  <w:footnote w:id="1">
    <w:p w14:paraId="7ED7716A" w14:textId="6F5B86F3" w:rsidR="005A6607" w:rsidRDefault="005A6607">
      <w:pPr>
        <w:pStyle w:val="FootnoteText"/>
      </w:pPr>
      <w:r>
        <w:rPr>
          <w:rStyle w:val="FootnoteReference"/>
        </w:rPr>
        <w:footnoteRef/>
      </w:r>
      <w:r>
        <w:t xml:space="preserve"> </w:t>
      </w:r>
      <w:r w:rsidRPr="005A6607">
        <w:t>Ekos (2019), Inverclyde Alliance Repopulation Strategy</w:t>
      </w:r>
    </w:p>
  </w:footnote>
  <w:footnote w:id="2">
    <w:p w14:paraId="675C77D4" w14:textId="7B8729BF" w:rsidR="00AC37D4" w:rsidRDefault="00AC37D4">
      <w:pPr>
        <w:pStyle w:val="FootnoteText"/>
      </w:pPr>
      <w:r>
        <w:rPr>
          <w:rStyle w:val="FootnoteReference"/>
        </w:rPr>
        <w:footnoteRef/>
      </w:r>
      <w:r>
        <w:t xml:space="preserve"> Inverclyde Alliance, </w:t>
      </w:r>
      <w:r w:rsidRPr="00AC37D4">
        <w:t>Inverclyde Outcomes Improvement Plan 2017/22</w:t>
      </w:r>
    </w:p>
  </w:footnote>
  <w:footnote w:id="3">
    <w:p w14:paraId="34618BF2" w14:textId="18E393A3" w:rsidR="00AC37D4" w:rsidRDefault="00AC37D4">
      <w:pPr>
        <w:pStyle w:val="FootnoteText"/>
      </w:pPr>
      <w:r>
        <w:rPr>
          <w:rStyle w:val="FootnoteReference"/>
        </w:rPr>
        <w:footnoteRef/>
      </w:r>
      <w:r>
        <w:t xml:space="preserve"> </w:t>
      </w:r>
      <w:r w:rsidRPr="00AC37D4">
        <w:t>Ekos (2019), Inverclyde Alliance Repopulation Strategy</w:t>
      </w:r>
    </w:p>
  </w:footnote>
  <w:footnote w:id="4">
    <w:p w14:paraId="3C41D0A3" w14:textId="1437FF2C" w:rsidR="00AC37D4" w:rsidRDefault="00AC37D4">
      <w:pPr>
        <w:pStyle w:val="FootnoteText"/>
      </w:pPr>
      <w:r>
        <w:rPr>
          <w:rStyle w:val="FootnoteReference"/>
        </w:rPr>
        <w:footnoteRef/>
      </w:r>
      <w:r>
        <w:t xml:space="preserve"> </w:t>
      </w:r>
      <w:r w:rsidRPr="008C6271">
        <w:t>Ekos (2019), Inverclyde Alliance Repopulation Strategy</w:t>
      </w:r>
    </w:p>
  </w:footnote>
  <w:footnote w:id="5">
    <w:p w14:paraId="017410FA" w14:textId="2E7CCB4A" w:rsidR="005A6607" w:rsidRDefault="005A6607">
      <w:pPr>
        <w:pStyle w:val="FootnoteText"/>
      </w:pPr>
      <w:r>
        <w:rPr>
          <w:rStyle w:val="FootnoteReference"/>
        </w:rPr>
        <w:footnoteRef/>
      </w:r>
      <w:r>
        <w:t xml:space="preserve"> </w:t>
      </w:r>
      <w:r w:rsidRPr="005A6607">
        <w:t>Ekos (2019), Inverclyde Alliance Repopulation Strategy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D0C4" w14:textId="4CE4CCFC" w:rsidR="008A5FFB" w:rsidRDefault="00B20937">
    <w:pPr>
      <w:pStyle w:val="Header"/>
    </w:pPr>
    <w:r>
      <w:rPr>
        <w:noProof/>
      </w:rPr>
      <mc:AlternateContent>
        <mc:Choice Requires="wps">
          <w:drawing>
            <wp:anchor distT="0" distB="0" distL="0" distR="0" simplePos="0" relativeHeight="251659264" behindDoc="0" locked="0" layoutInCell="1" allowOverlap="1" wp14:anchorId="0098AD10" wp14:editId="494DAE64">
              <wp:simplePos x="635" y="635"/>
              <wp:positionH relativeFrom="page">
                <wp:align>left</wp:align>
              </wp:positionH>
              <wp:positionV relativeFrom="page">
                <wp:align>top</wp:align>
              </wp:positionV>
              <wp:extent cx="443865" cy="443865"/>
              <wp:effectExtent l="0" t="0" r="10160" b="4445"/>
              <wp:wrapNone/>
              <wp:docPr id="727037071"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3B9786" w14:textId="7330E9BC" w:rsidR="00B20937" w:rsidRPr="00B20937" w:rsidRDefault="00B20937" w:rsidP="00B20937">
                          <w:pPr>
                            <w:rPr>
                              <w:rFonts w:eastAsia="Calibri"/>
                              <w:noProof/>
                              <w:color w:val="000000"/>
                              <w:sz w:val="24"/>
                              <w:szCs w:val="24"/>
                            </w:rPr>
                          </w:pPr>
                          <w:r w:rsidRPr="00B20937">
                            <w:rPr>
                              <w:rFonts w:eastAsia="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098AD10" id="_x0000_t202" coordsize="21600,21600" o:spt="202" path="m,l,21600r21600,l21600,xe">
              <v:stroke joinstyle="miter"/>
              <v:path gradientshapeok="t" o:connecttype="rect"/>
            </v:shapetype>
            <v:shape id="Text Box 2" o:spid="_x0000_s1028"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723B9786" w14:textId="7330E9BC" w:rsidR="00B20937" w:rsidRPr="00B20937" w:rsidRDefault="00B20937" w:rsidP="00B20937">
                    <w:pPr>
                      <w:rPr>
                        <w:rFonts w:eastAsia="Calibri"/>
                        <w:noProof/>
                        <w:color w:val="000000"/>
                        <w:sz w:val="24"/>
                        <w:szCs w:val="24"/>
                      </w:rPr>
                    </w:pPr>
                    <w:r w:rsidRPr="00B20937">
                      <w:rPr>
                        <w:rFonts w:eastAsia="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4F08" w14:textId="4E426C7C" w:rsidR="008A5FFB" w:rsidRDefault="00B20937">
    <w:pPr>
      <w:pStyle w:val="Header"/>
    </w:pPr>
    <w:r>
      <w:rPr>
        <w:noProof/>
      </w:rPr>
      <mc:AlternateContent>
        <mc:Choice Requires="wps">
          <w:drawing>
            <wp:anchor distT="0" distB="0" distL="0" distR="0" simplePos="0" relativeHeight="251660288" behindDoc="0" locked="0" layoutInCell="1" allowOverlap="1" wp14:anchorId="6548A8C9" wp14:editId="69073034">
              <wp:simplePos x="914400" y="447675"/>
              <wp:positionH relativeFrom="page">
                <wp:align>left</wp:align>
              </wp:positionH>
              <wp:positionV relativeFrom="page">
                <wp:align>top</wp:align>
              </wp:positionV>
              <wp:extent cx="443865" cy="443865"/>
              <wp:effectExtent l="0" t="0" r="10160" b="4445"/>
              <wp:wrapNone/>
              <wp:docPr id="1385630323" name="Text Box 3"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B5BB2A" w14:textId="36DA245B" w:rsidR="00B20937" w:rsidRPr="00B20937" w:rsidRDefault="00B20937" w:rsidP="00B20937">
                          <w:pPr>
                            <w:rPr>
                              <w:rFonts w:eastAsia="Calibri"/>
                              <w:noProof/>
                              <w:color w:val="000000"/>
                              <w:sz w:val="24"/>
                              <w:szCs w:val="24"/>
                            </w:rPr>
                          </w:pPr>
                          <w:r w:rsidRPr="00B20937">
                            <w:rPr>
                              <w:rFonts w:eastAsia="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548A8C9" id="_x0000_t202" coordsize="21600,21600" o:spt="202" path="m,l,21600r21600,l21600,xe">
              <v:stroke joinstyle="miter"/>
              <v:path gradientshapeok="t" o:connecttype="rect"/>
            </v:shapetype>
            <v:shape id="Text Box 3" o:spid="_x0000_s1029"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0B5BB2A" w14:textId="36DA245B" w:rsidR="00B20937" w:rsidRPr="00B20937" w:rsidRDefault="00B20937" w:rsidP="00B20937">
                    <w:pPr>
                      <w:rPr>
                        <w:rFonts w:eastAsia="Calibri"/>
                        <w:noProof/>
                        <w:color w:val="000000"/>
                        <w:sz w:val="24"/>
                        <w:szCs w:val="24"/>
                      </w:rPr>
                    </w:pPr>
                    <w:r w:rsidRPr="00B20937">
                      <w:rPr>
                        <w:rFonts w:eastAsia="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75C5" w14:textId="4CCC0AE6" w:rsidR="008A5FFB" w:rsidRDefault="00B20937">
    <w:pPr>
      <w:pStyle w:val="Header"/>
    </w:pPr>
    <w:r>
      <w:rPr>
        <w:noProof/>
      </w:rPr>
      <mc:AlternateContent>
        <mc:Choice Requires="wps">
          <w:drawing>
            <wp:anchor distT="0" distB="0" distL="0" distR="0" simplePos="0" relativeHeight="251658240" behindDoc="0" locked="0" layoutInCell="1" allowOverlap="1" wp14:anchorId="4ACAF2CB" wp14:editId="013D0AF4">
              <wp:simplePos x="915035" y="450215"/>
              <wp:positionH relativeFrom="page">
                <wp:align>left</wp:align>
              </wp:positionH>
              <wp:positionV relativeFrom="page">
                <wp:align>top</wp:align>
              </wp:positionV>
              <wp:extent cx="443865" cy="443865"/>
              <wp:effectExtent l="0" t="0" r="10160" b="4445"/>
              <wp:wrapNone/>
              <wp:docPr id="627164206"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06E90E" w14:textId="182762F4" w:rsidR="00B20937" w:rsidRPr="00B20937" w:rsidRDefault="00B20937" w:rsidP="00B20937">
                          <w:pPr>
                            <w:rPr>
                              <w:rFonts w:eastAsia="Calibri"/>
                              <w:noProof/>
                              <w:color w:val="000000"/>
                              <w:sz w:val="24"/>
                              <w:szCs w:val="24"/>
                            </w:rPr>
                          </w:pPr>
                          <w:r w:rsidRPr="00B20937">
                            <w:rPr>
                              <w:rFonts w:eastAsia="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ACAF2CB" id="_x0000_t202" coordsize="21600,21600" o:spt="202" path="m,l,21600r21600,l21600,xe">
              <v:stroke joinstyle="miter"/>
              <v:path gradientshapeok="t" o:connecttype="rect"/>
            </v:shapetype>
            <v:shape id="Text Box 1" o:spid="_x0000_s1030"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0406E90E" w14:textId="182762F4" w:rsidR="00B20937" w:rsidRPr="00B20937" w:rsidRDefault="00B20937" w:rsidP="00B20937">
                    <w:pPr>
                      <w:rPr>
                        <w:rFonts w:eastAsia="Calibri"/>
                        <w:noProof/>
                        <w:color w:val="000000"/>
                        <w:sz w:val="24"/>
                        <w:szCs w:val="24"/>
                      </w:rPr>
                    </w:pPr>
                    <w:r w:rsidRPr="00B20937">
                      <w:rPr>
                        <w:rFonts w:eastAsia="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0956"/>
    <w:multiLevelType w:val="hybridMultilevel"/>
    <w:tmpl w:val="E376BA94"/>
    <w:lvl w:ilvl="0" w:tplc="B1B89202">
      <w:start w:val="3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E414A"/>
    <w:multiLevelType w:val="hybridMultilevel"/>
    <w:tmpl w:val="2E083932"/>
    <w:lvl w:ilvl="0" w:tplc="42E6EF12">
      <w:start w:val="3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9A70C1"/>
    <w:multiLevelType w:val="hybridMultilevel"/>
    <w:tmpl w:val="C1601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B66001F"/>
    <w:multiLevelType w:val="hybridMultilevel"/>
    <w:tmpl w:val="BF5E02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410EE6"/>
    <w:multiLevelType w:val="hybridMultilevel"/>
    <w:tmpl w:val="C976291C"/>
    <w:lvl w:ilvl="0" w:tplc="91C22B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9A5D9D"/>
    <w:multiLevelType w:val="hybridMultilevel"/>
    <w:tmpl w:val="2B7CA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7300D8"/>
    <w:multiLevelType w:val="hybridMultilevel"/>
    <w:tmpl w:val="72BACE1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76085DFF"/>
    <w:multiLevelType w:val="hybridMultilevel"/>
    <w:tmpl w:val="9B768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FD447C8"/>
    <w:multiLevelType w:val="hybridMultilevel"/>
    <w:tmpl w:val="25B87FA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794521902">
    <w:abstractNumId w:val="1"/>
  </w:num>
  <w:num w:numId="2" w16cid:durableId="752580350">
    <w:abstractNumId w:val="5"/>
  </w:num>
  <w:num w:numId="3" w16cid:durableId="1762681354">
    <w:abstractNumId w:val="0"/>
  </w:num>
  <w:num w:numId="4" w16cid:durableId="1798067096">
    <w:abstractNumId w:val="7"/>
  </w:num>
  <w:num w:numId="5" w16cid:durableId="1035808412">
    <w:abstractNumId w:val="2"/>
  </w:num>
  <w:num w:numId="6" w16cid:durableId="1618298501">
    <w:abstractNumId w:val="6"/>
  </w:num>
  <w:num w:numId="7" w16cid:durableId="1665164019">
    <w:abstractNumId w:val="8"/>
  </w:num>
  <w:num w:numId="8" w16cid:durableId="434907016">
    <w:abstractNumId w:val="4"/>
  </w:num>
  <w:num w:numId="9" w16cid:durableId="3337241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F09"/>
    <w:rsid w:val="00004252"/>
    <w:rsid w:val="00046B54"/>
    <w:rsid w:val="00066B7B"/>
    <w:rsid w:val="000C13FA"/>
    <w:rsid w:val="00105E2C"/>
    <w:rsid w:val="00117F9F"/>
    <w:rsid w:val="0014667E"/>
    <w:rsid w:val="00154F3D"/>
    <w:rsid w:val="001A17F8"/>
    <w:rsid w:val="001A2F71"/>
    <w:rsid w:val="001B02CB"/>
    <w:rsid w:val="001C41A8"/>
    <w:rsid w:val="001C7414"/>
    <w:rsid w:val="001D0529"/>
    <w:rsid w:val="001F3C98"/>
    <w:rsid w:val="001F7762"/>
    <w:rsid w:val="0020083B"/>
    <w:rsid w:val="0021048E"/>
    <w:rsid w:val="00224856"/>
    <w:rsid w:val="00245514"/>
    <w:rsid w:val="002659C1"/>
    <w:rsid w:val="002728AF"/>
    <w:rsid w:val="00280DD2"/>
    <w:rsid w:val="002A4C47"/>
    <w:rsid w:val="002D1454"/>
    <w:rsid w:val="00301D96"/>
    <w:rsid w:val="0033114E"/>
    <w:rsid w:val="00345FA8"/>
    <w:rsid w:val="00363AD7"/>
    <w:rsid w:val="00365A7D"/>
    <w:rsid w:val="00392C53"/>
    <w:rsid w:val="003C41FA"/>
    <w:rsid w:val="003D0501"/>
    <w:rsid w:val="003F0894"/>
    <w:rsid w:val="003F15B3"/>
    <w:rsid w:val="00406A4C"/>
    <w:rsid w:val="00407743"/>
    <w:rsid w:val="00407A48"/>
    <w:rsid w:val="00411D91"/>
    <w:rsid w:val="004235E8"/>
    <w:rsid w:val="004350BA"/>
    <w:rsid w:val="004418C1"/>
    <w:rsid w:val="00473184"/>
    <w:rsid w:val="00482CFF"/>
    <w:rsid w:val="004A1E58"/>
    <w:rsid w:val="004E094A"/>
    <w:rsid w:val="004E240C"/>
    <w:rsid w:val="004E31F0"/>
    <w:rsid w:val="004E7E9E"/>
    <w:rsid w:val="005139E5"/>
    <w:rsid w:val="00561F2F"/>
    <w:rsid w:val="00565EFF"/>
    <w:rsid w:val="00573946"/>
    <w:rsid w:val="005961AA"/>
    <w:rsid w:val="005979EF"/>
    <w:rsid w:val="005A0BC0"/>
    <w:rsid w:val="005A6607"/>
    <w:rsid w:val="005E5542"/>
    <w:rsid w:val="00603574"/>
    <w:rsid w:val="0062787E"/>
    <w:rsid w:val="00637F3E"/>
    <w:rsid w:val="00657746"/>
    <w:rsid w:val="00666965"/>
    <w:rsid w:val="00673BE4"/>
    <w:rsid w:val="00683D0E"/>
    <w:rsid w:val="00691392"/>
    <w:rsid w:val="00696974"/>
    <w:rsid w:val="006A0C0E"/>
    <w:rsid w:val="006B04B5"/>
    <w:rsid w:val="006E7AEE"/>
    <w:rsid w:val="00710164"/>
    <w:rsid w:val="00730EC6"/>
    <w:rsid w:val="007379DA"/>
    <w:rsid w:val="0078595F"/>
    <w:rsid w:val="007B0D6C"/>
    <w:rsid w:val="007B2130"/>
    <w:rsid w:val="007E77AB"/>
    <w:rsid w:val="007F6820"/>
    <w:rsid w:val="00804D2B"/>
    <w:rsid w:val="008150F7"/>
    <w:rsid w:val="0084137C"/>
    <w:rsid w:val="00870201"/>
    <w:rsid w:val="008913D3"/>
    <w:rsid w:val="008A2513"/>
    <w:rsid w:val="008A5FFB"/>
    <w:rsid w:val="008F4778"/>
    <w:rsid w:val="00903FA9"/>
    <w:rsid w:val="0091682A"/>
    <w:rsid w:val="00926537"/>
    <w:rsid w:val="00940AF9"/>
    <w:rsid w:val="00942312"/>
    <w:rsid w:val="00942498"/>
    <w:rsid w:val="00955EFC"/>
    <w:rsid w:val="009630FE"/>
    <w:rsid w:val="009779BF"/>
    <w:rsid w:val="009D4DF4"/>
    <w:rsid w:val="009D70E5"/>
    <w:rsid w:val="009E64E5"/>
    <w:rsid w:val="009F07D8"/>
    <w:rsid w:val="00A2251F"/>
    <w:rsid w:val="00A23A8F"/>
    <w:rsid w:val="00A478EF"/>
    <w:rsid w:val="00A8771E"/>
    <w:rsid w:val="00AC2975"/>
    <w:rsid w:val="00AC37D4"/>
    <w:rsid w:val="00AC3A43"/>
    <w:rsid w:val="00AD7DD7"/>
    <w:rsid w:val="00AE36AF"/>
    <w:rsid w:val="00AE60DA"/>
    <w:rsid w:val="00AF0077"/>
    <w:rsid w:val="00AF0F09"/>
    <w:rsid w:val="00B008EF"/>
    <w:rsid w:val="00B01D8B"/>
    <w:rsid w:val="00B12AE3"/>
    <w:rsid w:val="00B20937"/>
    <w:rsid w:val="00B30B47"/>
    <w:rsid w:val="00B40366"/>
    <w:rsid w:val="00B43276"/>
    <w:rsid w:val="00B76528"/>
    <w:rsid w:val="00B8600A"/>
    <w:rsid w:val="00BE020D"/>
    <w:rsid w:val="00C87A67"/>
    <w:rsid w:val="00C900CD"/>
    <w:rsid w:val="00CB27F8"/>
    <w:rsid w:val="00D14B1E"/>
    <w:rsid w:val="00D3085C"/>
    <w:rsid w:val="00D43664"/>
    <w:rsid w:val="00D475E5"/>
    <w:rsid w:val="00D90C27"/>
    <w:rsid w:val="00DC20A4"/>
    <w:rsid w:val="00E011A4"/>
    <w:rsid w:val="00E413ED"/>
    <w:rsid w:val="00E750F2"/>
    <w:rsid w:val="00E82179"/>
    <w:rsid w:val="00EA16EA"/>
    <w:rsid w:val="00EA568F"/>
    <w:rsid w:val="00EE03B2"/>
    <w:rsid w:val="00F023B8"/>
    <w:rsid w:val="00F13603"/>
    <w:rsid w:val="00F35B4A"/>
    <w:rsid w:val="00F41CCC"/>
    <w:rsid w:val="00F55927"/>
    <w:rsid w:val="00F70E65"/>
    <w:rsid w:val="00F80727"/>
    <w:rsid w:val="00F82BB2"/>
    <w:rsid w:val="00FA2340"/>
    <w:rsid w:val="00FD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6E1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F09"/>
    <w:pPr>
      <w:spacing w:after="0" w:line="240" w:lineRule="auto"/>
    </w:pPr>
    <w:rPr>
      <w:rFonts w:ascii="Calibri" w:hAnsi="Calibri" w:cs="Calibri"/>
    </w:rPr>
  </w:style>
  <w:style w:type="paragraph" w:styleId="Heading1">
    <w:name w:val="heading 1"/>
    <w:basedOn w:val="Normal"/>
    <w:next w:val="Normal"/>
    <w:link w:val="Heading1Char"/>
    <w:uiPriority w:val="9"/>
    <w:qFormat/>
    <w:rsid w:val="00F82B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0F0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F15B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F09"/>
    <w:pPr>
      <w:ind w:left="720"/>
      <w:contextualSpacing/>
    </w:pPr>
  </w:style>
  <w:style w:type="character" w:customStyle="1" w:styleId="Heading2Char">
    <w:name w:val="Heading 2 Char"/>
    <w:basedOn w:val="DefaultParagraphFont"/>
    <w:link w:val="Heading2"/>
    <w:uiPriority w:val="9"/>
    <w:rsid w:val="00AF0F0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82BB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F15B3"/>
    <w:rPr>
      <w:color w:val="0563C1"/>
      <w:u w:val="single"/>
    </w:rPr>
  </w:style>
  <w:style w:type="paragraph" w:styleId="NormalWeb">
    <w:name w:val="Normal (Web)"/>
    <w:basedOn w:val="Normal"/>
    <w:uiPriority w:val="99"/>
    <w:semiHidden/>
    <w:unhideWhenUsed/>
    <w:rsid w:val="003F15B3"/>
    <w:pPr>
      <w:spacing w:before="100" w:beforeAutospacing="1" w:after="100" w:afterAutospacing="1"/>
    </w:pPr>
    <w:rPr>
      <w:lang w:eastAsia="en-GB"/>
    </w:rPr>
  </w:style>
  <w:style w:type="character" w:customStyle="1" w:styleId="Heading3Char">
    <w:name w:val="Heading 3 Char"/>
    <w:basedOn w:val="DefaultParagraphFont"/>
    <w:link w:val="Heading3"/>
    <w:uiPriority w:val="9"/>
    <w:rsid w:val="003F15B3"/>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EA16EA"/>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EA16EA"/>
    <w:rPr>
      <w:sz w:val="16"/>
      <w:szCs w:val="16"/>
    </w:rPr>
  </w:style>
  <w:style w:type="paragraph" w:styleId="CommentText">
    <w:name w:val="annotation text"/>
    <w:basedOn w:val="Normal"/>
    <w:link w:val="CommentTextChar"/>
    <w:uiPriority w:val="99"/>
    <w:semiHidden/>
    <w:unhideWhenUsed/>
    <w:rsid w:val="00EA16EA"/>
    <w:rPr>
      <w:sz w:val="20"/>
      <w:szCs w:val="20"/>
    </w:rPr>
  </w:style>
  <w:style w:type="character" w:customStyle="1" w:styleId="CommentTextChar">
    <w:name w:val="Comment Text Char"/>
    <w:basedOn w:val="DefaultParagraphFont"/>
    <w:link w:val="CommentText"/>
    <w:uiPriority w:val="99"/>
    <w:semiHidden/>
    <w:rsid w:val="00EA16E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A16EA"/>
    <w:rPr>
      <w:b/>
      <w:bCs/>
    </w:rPr>
  </w:style>
  <w:style w:type="character" w:customStyle="1" w:styleId="CommentSubjectChar">
    <w:name w:val="Comment Subject Char"/>
    <w:basedOn w:val="CommentTextChar"/>
    <w:link w:val="CommentSubject"/>
    <w:uiPriority w:val="99"/>
    <w:semiHidden/>
    <w:rsid w:val="00EA16EA"/>
    <w:rPr>
      <w:rFonts w:ascii="Calibri" w:hAnsi="Calibri" w:cs="Calibri"/>
      <w:b/>
      <w:bCs/>
      <w:sz w:val="20"/>
      <w:szCs w:val="20"/>
    </w:rPr>
  </w:style>
  <w:style w:type="paragraph" w:customStyle="1" w:styleId="Headings">
    <w:name w:val="Headings"/>
    <w:basedOn w:val="NoSpacing"/>
    <w:qFormat/>
    <w:rsid w:val="0062787E"/>
  </w:style>
  <w:style w:type="table" w:styleId="TableGrid">
    <w:name w:val="Table Grid"/>
    <w:basedOn w:val="TableNormal"/>
    <w:uiPriority w:val="39"/>
    <w:rsid w:val="0062787E"/>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0"/>
      </w:rPr>
      <w:tblPr/>
      <w:tcPr>
        <w:shd w:val="clear" w:color="auto" w:fill="000000" w:themeFill="text1"/>
      </w:tcPr>
    </w:tblStylePr>
  </w:style>
  <w:style w:type="paragraph" w:styleId="NoSpacing">
    <w:name w:val="No Spacing"/>
    <w:link w:val="NoSpacingChar"/>
    <w:uiPriority w:val="1"/>
    <w:qFormat/>
    <w:rsid w:val="0062787E"/>
    <w:pPr>
      <w:spacing w:after="0" w:line="240" w:lineRule="auto"/>
    </w:pPr>
    <w:rPr>
      <w:rFonts w:ascii="Calibri" w:hAnsi="Calibri" w:cs="Calibri"/>
    </w:rPr>
  </w:style>
  <w:style w:type="character" w:customStyle="1" w:styleId="NoSpacingChar">
    <w:name w:val="No Spacing Char"/>
    <w:basedOn w:val="DefaultParagraphFont"/>
    <w:link w:val="NoSpacing"/>
    <w:uiPriority w:val="1"/>
    <w:rsid w:val="00B01D8B"/>
    <w:rPr>
      <w:rFonts w:ascii="Calibri" w:hAnsi="Calibri" w:cs="Calibri"/>
    </w:rPr>
  </w:style>
  <w:style w:type="paragraph" w:styleId="Title">
    <w:name w:val="Title"/>
    <w:basedOn w:val="Normal"/>
    <w:next w:val="Normal"/>
    <w:link w:val="TitleChar"/>
    <w:uiPriority w:val="10"/>
    <w:qFormat/>
    <w:rsid w:val="00B01D8B"/>
    <w:pPr>
      <w:spacing w:line="216" w:lineRule="auto"/>
      <w:contextualSpacing/>
    </w:pPr>
    <w:rPr>
      <w:rFonts w:asciiTheme="majorHAnsi" w:eastAsiaTheme="majorEastAsia" w:hAnsiTheme="majorHAnsi" w:cstheme="majorBidi"/>
      <w:color w:val="404040" w:themeColor="text1" w:themeTint="BF"/>
      <w:spacing w:val="-10"/>
      <w:kern w:val="28"/>
      <w:sz w:val="56"/>
      <w:szCs w:val="56"/>
      <w:lang w:eastAsia="en-GB"/>
    </w:rPr>
  </w:style>
  <w:style w:type="character" w:customStyle="1" w:styleId="TitleChar">
    <w:name w:val="Title Char"/>
    <w:basedOn w:val="DefaultParagraphFont"/>
    <w:link w:val="Title"/>
    <w:uiPriority w:val="10"/>
    <w:rsid w:val="00B01D8B"/>
    <w:rPr>
      <w:rFonts w:asciiTheme="majorHAnsi" w:eastAsiaTheme="majorEastAsia" w:hAnsiTheme="majorHAnsi" w:cstheme="majorBidi"/>
      <w:color w:val="404040" w:themeColor="text1" w:themeTint="BF"/>
      <w:spacing w:val="-10"/>
      <w:kern w:val="28"/>
      <w:sz w:val="56"/>
      <w:szCs w:val="56"/>
      <w:lang w:eastAsia="en-GB"/>
    </w:rPr>
  </w:style>
  <w:style w:type="paragraph" w:styleId="Subtitle">
    <w:name w:val="Subtitle"/>
    <w:basedOn w:val="Normal"/>
    <w:next w:val="Normal"/>
    <w:link w:val="SubtitleChar"/>
    <w:uiPriority w:val="11"/>
    <w:qFormat/>
    <w:rsid w:val="00B01D8B"/>
    <w:pPr>
      <w:numPr>
        <w:ilvl w:val="1"/>
      </w:numPr>
      <w:spacing w:after="160" w:line="259" w:lineRule="auto"/>
    </w:pPr>
    <w:rPr>
      <w:rFonts w:asciiTheme="minorHAnsi" w:eastAsiaTheme="minorEastAsia" w:hAnsiTheme="minorHAnsi" w:cs="Times New Roman"/>
      <w:color w:val="5A5A5A" w:themeColor="text1" w:themeTint="A5"/>
      <w:spacing w:val="15"/>
      <w:lang w:eastAsia="en-GB"/>
    </w:rPr>
  </w:style>
  <w:style w:type="character" w:customStyle="1" w:styleId="SubtitleChar">
    <w:name w:val="Subtitle Char"/>
    <w:basedOn w:val="DefaultParagraphFont"/>
    <w:link w:val="Subtitle"/>
    <w:uiPriority w:val="11"/>
    <w:rsid w:val="00B01D8B"/>
    <w:rPr>
      <w:rFonts w:eastAsiaTheme="minorEastAsia" w:cs="Times New Roman"/>
      <w:color w:val="5A5A5A" w:themeColor="text1" w:themeTint="A5"/>
      <w:spacing w:val="15"/>
      <w:lang w:eastAsia="en-GB"/>
    </w:rPr>
  </w:style>
  <w:style w:type="paragraph" w:styleId="TOCHeading">
    <w:name w:val="TOC Heading"/>
    <w:basedOn w:val="Heading1"/>
    <w:next w:val="Normal"/>
    <w:uiPriority w:val="39"/>
    <w:unhideWhenUsed/>
    <w:qFormat/>
    <w:rsid w:val="00B01D8B"/>
    <w:pPr>
      <w:spacing w:line="259" w:lineRule="auto"/>
      <w:outlineLvl w:val="9"/>
    </w:pPr>
    <w:rPr>
      <w:lang w:eastAsia="en-GB"/>
    </w:rPr>
  </w:style>
  <w:style w:type="paragraph" w:styleId="TOC1">
    <w:name w:val="toc 1"/>
    <w:basedOn w:val="Normal"/>
    <w:next w:val="Normal"/>
    <w:autoRedefine/>
    <w:uiPriority w:val="39"/>
    <w:unhideWhenUsed/>
    <w:rsid w:val="00E82179"/>
    <w:pPr>
      <w:tabs>
        <w:tab w:val="right" w:leader="dot" w:pos="9016"/>
      </w:tabs>
      <w:spacing w:after="100"/>
    </w:pPr>
  </w:style>
  <w:style w:type="paragraph" w:styleId="TOC2">
    <w:name w:val="toc 2"/>
    <w:basedOn w:val="Normal"/>
    <w:next w:val="Normal"/>
    <w:autoRedefine/>
    <w:uiPriority w:val="39"/>
    <w:unhideWhenUsed/>
    <w:rsid w:val="00B01D8B"/>
    <w:pPr>
      <w:spacing w:after="100"/>
      <w:ind w:left="220"/>
    </w:pPr>
  </w:style>
  <w:style w:type="character" w:styleId="FollowedHyperlink">
    <w:name w:val="FollowedHyperlink"/>
    <w:basedOn w:val="DefaultParagraphFont"/>
    <w:uiPriority w:val="99"/>
    <w:semiHidden/>
    <w:unhideWhenUsed/>
    <w:rsid w:val="0078595F"/>
    <w:rPr>
      <w:color w:val="954F72" w:themeColor="followedHyperlink"/>
      <w:u w:val="single"/>
    </w:rPr>
  </w:style>
  <w:style w:type="paragraph" w:styleId="Revision">
    <w:name w:val="Revision"/>
    <w:hidden/>
    <w:uiPriority w:val="99"/>
    <w:semiHidden/>
    <w:rsid w:val="00D3085C"/>
    <w:pPr>
      <w:spacing w:after="0" w:line="240" w:lineRule="auto"/>
    </w:pPr>
    <w:rPr>
      <w:rFonts w:ascii="Calibri" w:hAnsi="Calibri" w:cs="Calibri"/>
    </w:rPr>
  </w:style>
  <w:style w:type="paragraph" w:styleId="FootnoteText">
    <w:name w:val="footnote text"/>
    <w:basedOn w:val="Normal"/>
    <w:link w:val="FootnoteTextChar"/>
    <w:uiPriority w:val="99"/>
    <w:semiHidden/>
    <w:unhideWhenUsed/>
    <w:rsid w:val="003C41FA"/>
    <w:rPr>
      <w:sz w:val="20"/>
      <w:szCs w:val="20"/>
    </w:rPr>
  </w:style>
  <w:style w:type="character" w:customStyle="1" w:styleId="FootnoteTextChar">
    <w:name w:val="Footnote Text Char"/>
    <w:basedOn w:val="DefaultParagraphFont"/>
    <w:link w:val="FootnoteText"/>
    <w:uiPriority w:val="99"/>
    <w:semiHidden/>
    <w:rsid w:val="003C41FA"/>
    <w:rPr>
      <w:rFonts w:ascii="Calibri" w:hAnsi="Calibri" w:cs="Calibri"/>
      <w:sz w:val="20"/>
      <w:szCs w:val="20"/>
    </w:rPr>
  </w:style>
  <w:style w:type="character" w:styleId="FootnoteReference">
    <w:name w:val="footnote reference"/>
    <w:basedOn w:val="DefaultParagraphFont"/>
    <w:uiPriority w:val="99"/>
    <w:semiHidden/>
    <w:unhideWhenUsed/>
    <w:rsid w:val="003C41FA"/>
    <w:rPr>
      <w:vertAlign w:val="superscript"/>
    </w:rPr>
  </w:style>
  <w:style w:type="table" w:styleId="TableGridLight">
    <w:name w:val="Grid Table Light"/>
    <w:basedOn w:val="TableNormal"/>
    <w:uiPriority w:val="40"/>
    <w:rsid w:val="006A0C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5A6607"/>
    <w:pPr>
      <w:tabs>
        <w:tab w:val="center" w:pos="4513"/>
        <w:tab w:val="right" w:pos="9026"/>
      </w:tabs>
    </w:pPr>
  </w:style>
  <w:style w:type="character" w:customStyle="1" w:styleId="HeaderChar">
    <w:name w:val="Header Char"/>
    <w:basedOn w:val="DefaultParagraphFont"/>
    <w:link w:val="Header"/>
    <w:uiPriority w:val="99"/>
    <w:rsid w:val="005A6607"/>
    <w:rPr>
      <w:rFonts w:ascii="Calibri" w:hAnsi="Calibri" w:cs="Calibri"/>
    </w:rPr>
  </w:style>
  <w:style w:type="paragraph" w:styleId="Footer">
    <w:name w:val="footer"/>
    <w:basedOn w:val="Normal"/>
    <w:link w:val="FooterChar"/>
    <w:uiPriority w:val="99"/>
    <w:unhideWhenUsed/>
    <w:rsid w:val="005A6607"/>
    <w:pPr>
      <w:tabs>
        <w:tab w:val="center" w:pos="4513"/>
        <w:tab w:val="right" w:pos="9026"/>
      </w:tabs>
    </w:pPr>
  </w:style>
  <w:style w:type="character" w:customStyle="1" w:styleId="FooterChar">
    <w:name w:val="Footer Char"/>
    <w:basedOn w:val="DefaultParagraphFont"/>
    <w:link w:val="Footer"/>
    <w:uiPriority w:val="99"/>
    <w:rsid w:val="005A660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4385">
      <w:bodyDiv w:val="1"/>
      <w:marLeft w:val="0"/>
      <w:marRight w:val="0"/>
      <w:marTop w:val="0"/>
      <w:marBottom w:val="0"/>
      <w:divBdr>
        <w:top w:val="none" w:sz="0" w:space="0" w:color="auto"/>
        <w:left w:val="none" w:sz="0" w:space="0" w:color="auto"/>
        <w:bottom w:val="none" w:sz="0" w:space="0" w:color="auto"/>
        <w:right w:val="none" w:sz="0" w:space="0" w:color="auto"/>
      </w:divBdr>
    </w:div>
    <w:div w:id="536431018">
      <w:bodyDiv w:val="1"/>
      <w:marLeft w:val="0"/>
      <w:marRight w:val="0"/>
      <w:marTop w:val="0"/>
      <w:marBottom w:val="0"/>
      <w:divBdr>
        <w:top w:val="none" w:sz="0" w:space="0" w:color="auto"/>
        <w:left w:val="none" w:sz="0" w:space="0" w:color="auto"/>
        <w:bottom w:val="none" w:sz="0" w:space="0" w:color="auto"/>
        <w:right w:val="none" w:sz="0" w:space="0" w:color="auto"/>
      </w:divBdr>
    </w:div>
    <w:div w:id="127621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80E947-3601-4891-B469-0780D8269C68}" type="doc">
      <dgm:prSet loTypeId="urn:microsoft.com/office/officeart/2005/8/layout/hProcess3" loCatId="process" qsTypeId="urn:microsoft.com/office/officeart/2005/8/quickstyle/3d6" qsCatId="3D" csTypeId="urn:microsoft.com/office/officeart/2005/8/colors/accent6_5" csCatId="accent6" phldr="1"/>
      <dgm:spPr/>
    </dgm:pt>
    <dgm:pt modelId="{41F5B7F9-9ABF-49B0-864B-1951B273C0C3}">
      <dgm:prSet phldrT="[Text]"/>
      <dgm:spPr/>
      <dgm:t>
        <a:bodyPr/>
        <a:lstStyle/>
        <a:p>
          <a:r>
            <a:rPr lang="en-GB"/>
            <a:t>HNDA</a:t>
          </a:r>
        </a:p>
      </dgm:t>
    </dgm:pt>
    <dgm:pt modelId="{7DA62A95-D1D3-4612-974E-EFD832A1FA18}" type="parTrans" cxnId="{BF78C4D8-9F36-4302-8B01-93C0A831DE67}">
      <dgm:prSet/>
      <dgm:spPr/>
      <dgm:t>
        <a:bodyPr/>
        <a:lstStyle/>
        <a:p>
          <a:endParaRPr lang="en-GB"/>
        </a:p>
      </dgm:t>
    </dgm:pt>
    <dgm:pt modelId="{79980EA8-6D07-4C73-AC50-CB3BA6B134AC}" type="sibTrans" cxnId="{BF78C4D8-9F36-4302-8B01-93C0A831DE67}">
      <dgm:prSet/>
      <dgm:spPr/>
      <dgm:t>
        <a:bodyPr/>
        <a:lstStyle/>
        <a:p>
          <a:endParaRPr lang="en-GB"/>
        </a:p>
      </dgm:t>
    </dgm:pt>
    <dgm:pt modelId="{4C10DE76-0B9D-4475-956D-CD5780EEF1C0}">
      <dgm:prSet phldrT="[Text]"/>
      <dgm:spPr/>
      <dgm:t>
        <a:bodyPr/>
        <a:lstStyle/>
        <a:p>
          <a:r>
            <a:rPr lang="en-GB"/>
            <a:t>Policy Aspirations</a:t>
          </a:r>
        </a:p>
      </dgm:t>
    </dgm:pt>
    <dgm:pt modelId="{18857FF0-AADE-4AB2-9A79-61F6FFF9E518}" type="parTrans" cxnId="{F7721433-0591-447A-8AE8-C79FD8BAA147}">
      <dgm:prSet/>
      <dgm:spPr/>
      <dgm:t>
        <a:bodyPr/>
        <a:lstStyle/>
        <a:p>
          <a:endParaRPr lang="en-GB"/>
        </a:p>
      </dgm:t>
    </dgm:pt>
    <dgm:pt modelId="{1AFC53C2-D12D-406D-A330-B832FD89388D}" type="sibTrans" cxnId="{F7721433-0591-447A-8AE8-C79FD8BAA147}">
      <dgm:prSet/>
      <dgm:spPr/>
      <dgm:t>
        <a:bodyPr/>
        <a:lstStyle/>
        <a:p>
          <a:endParaRPr lang="en-GB"/>
        </a:p>
      </dgm:t>
    </dgm:pt>
    <dgm:pt modelId="{D71B97C7-D712-4491-9CAC-08400AE1286C}">
      <dgm:prSet phldrT="[Text]"/>
      <dgm:spPr/>
      <dgm:t>
        <a:bodyPr/>
        <a:lstStyle/>
        <a:p>
          <a:r>
            <a:rPr lang="en-GB"/>
            <a:t>Practical Considerations  </a:t>
          </a:r>
        </a:p>
      </dgm:t>
    </dgm:pt>
    <dgm:pt modelId="{7CACDDE8-94B6-4ACC-A7A8-450C61B704CE}" type="parTrans" cxnId="{4AC6566B-A4F1-42FB-8F1F-97E0024EECC8}">
      <dgm:prSet/>
      <dgm:spPr/>
      <dgm:t>
        <a:bodyPr/>
        <a:lstStyle/>
        <a:p>
          <a:endParaRPr lang="en-GB"/>
        </a:p>
      </dgm:t>
    </dgm:pt>
    <dgm:pt modelId="{09C04CA7-394B-4C6A-81B6-F0158DE61F53}" type="sibTrans" cxnId="{4AC6566B-A4F1-42FB-8F1F-97E0024EECC8}">
      <dgm:prSet/>
      <dgm:spPr/>
      <dgm:t>
        <a:bodyPr/>
        <a:lstStyle/>
        <a:p>
          <a:endParaRPr lang="en-GB"/>
        </a:p>
      </dgm:t>
    </dgm:pt>
    <dgm:pt modelId="{56C27DE5-D22C-4198-B9F2-48F5C0A303B5}" type="pres">
      <dgm:prSet presAssocID="{B480E947-3601-4891-B469-0780D8269C68}" presName="Name0" presStyleCnt="0">
        <dgm:presLayoutVars>
          <dgm:dir/>
          <dgm:animLvl val="lvl"/>
          <dgm:resizeHandles val="exact"/>
        </dgm:presLayoutVars>
      </dgm:prSet>
      <dgm:spPr/>
    </dgm:pt>
    <dgm:pt modelId="{69511AB3-5E76-40B2-AF4D-20E81728A162}" type="pres">
      <dgm:prSet presAssocID="{B480E947-3601-4891-B469-0780D8269C68}" presName="dummy" presStyleCnt="0"/>
      <dgm:spPr/>
    </dgm:pt>
    <dgm:pt modelId="{D4365A7C-E6A8-4EEB-9B66-750AB7DADE0F}" type="pres">
      <dgm:prSet presAssocID="{B480E947-3601-4891-B469-0780D8269C68}" presName="linH" presStyleCnt="0"/>
      <dgm:spPr/>
    </dgm:pt>
    <dgm:pt modelId="{ECAD6428-5927-427B-8D4A-7086276E183C}" type="pres">
      <dgm:prSet presAssocID="{B480E947-3601-4891-B469-0780D8269C68}" presName="padding1" presStyleCnt="0"/>
      <dgm:spPr/>
    </dgm:pt>
    <dgm:pt modelId="{40D28740-F1F6-4A7C-8CCB-B926C768EEC5}" type="pres">
      <dgm:prSet presAssocID="{41F5B7F9-9ABF-49B0-864B-1951B273C0C3}" presName="linV" presStyleCnt="0"/>
      <dgm:spPr/>
    </dgm:pt>
    <dgm:pt modelId="{335EA886-7B1E-4D46-A272-217DF27254F2}" type="pres">
      <dgm:prSet presAssocID="{41F5B7F9-9ABF-49B0-864B-1951B273C0C3}" presName="spVertical1" presStyleCnt="0"/>
      <dgm:spPr/>
    </dgm:pt>
    <dgm:pt modelId="{C6AC7F34-D962-4594-AE4F-5A064C915FCA}" type="pres">
      <dgm:prSet presAssocID="{41F5B7F9-9ABF-49B0-864B-1951B273C0C3}" presName="parTx" presStyleLbl="revTx" presStyleIdx="0" presStyleCnt="3">
        <dgm:presLayoutVars>
          <dgm:chMax val="0"/>
          <dgm:chPref val="0"/>
          <dgm:bulletEnabled val="1"/>
        </dgm:presLayoutVars>
      </dgm:prSet>
      <dgm:spPr/>
    </dgm:pt>
    <dgm:pt modelId="{E77865D1-C0CA-4067-9B28-9CB8CB10B819}" type="pres">
      <dgm:prSet presAssocID="{41F5B7F9-9ABF-49B0-864B-1951B273C0C3}" presName="spVertical2" presStyleCnt="0"/>
      <dgm:spPr/>
    </dgm:pt>
    <dgm:pt modelId="{82B58224-2698-42D2-86C9-3E0033C395D4}" type="pres">
      <dgm:prSet presAssocID="{41F5B7F9-9ABF-49B0-864B-1951B273C0C3}" presName="spVertical3" presStyleCnt="0"/>
      <dgm:spPr/>
    </dgm:pt>
    <dgm:pt modelId="{4EA9E1E8-A1E3-462E-A85A-A3180EF1A929}" type="pres">
      <dgm:prSet presAssocID="{79980EA8-6D07-4C73-AC50-CB3BA6B134AC}" presName="space" presStyleCnt="0"/>
      <dgm:spPr/>
    </dgm:pt>
    <dgm:pt modelId="{E731082E-3A7A-4232-9879-6BDBE6BB63D2}" type="pres">
      <dgm:prSet presAssocID="{4C10DE76-0B9D-4475-956D-CD5780EEF1C0}" presName="linV" presStyleCnt="0"/>
      <dgm:spPr/>
    </dgm:pt>
    <dgm:pt modelId="{044A9734-FBFC-4D4A-B0C4-567FE8A4354C}" type="pres">
      <dgm:prSet presAssocID="{4C10DE76-0B9D-4475-956D-CD5780EEF1C0}" presName="spVertical1" presStyleCnt="0"/>
      <dgm:spPr/>
    </dgm:pt>
    <dgm:pt modelId="{F3689EFD-00E4-484E-BA58-D6C0C4C6CDC4}" type="pres">
      <dgm:prSet presAssocID="{4C10DE76-0B9D-4475-956D-CD5780EEF1C0}" presName="parTx" presStyleLbl="revTx" presStyleIdx="1" presStyleCnt="3">
        <dgm:presLayoutVars>
          <dgm:chMax val="0"/>
          <dgm:chPref val="0"/>
          <dgm:bulletEnabled val="1"/>
        </dgm:presLayoutVars>
      </dgm:prSet>
      <dgm:spPr/>
    </dgm:pt>
    <dgm:pt modelId="{0878BB29-436F-4134-AC6E-32F2E9258F40}" type="pres">
      <dgm:prSet presAssocID="{4C10DE76-0B9D-4475-956D-CD5780EEF1C0}" presName="spVertical2" presStyleCnt="0"/>
      <dgm:spPr/>
    </dgm:pt>
    <dgm:pt modelId="{AC43705C-A515-4BDB-809E-F6F587C348E1}" type="pres">
      <dgm:prSet presAssocID="{4C10DE76-0B9D-4475-956D-CD5780EEF1C0}" presName="spVertical3" presStyleCnt="0"/>
      <dgm:spPr/>
    </dgm:pt>
    <dgm:pt modelId="{76016DB5-6144-4186-AD28-D1D74DDC398E}" type="pres">
      <dgm:prSet presAssocID="{1AFC53C2-D12D-406D-A330-B832FD89388D}" presName="space" presStyleCnt="0"/>
      <dgm:spPr/>
    </dgm:pt>
    <dgm:pt modelId="{EF37D922-03AC-4F71-A958-5516AD5C101E}" type="pres">
      <dgm:prSet presAssocID="{D71B97C7-D712-4491-9CAC-08400AE1286C}" presName="linV" presStyleCnt="0"/>
      <dgm:spPr/>
    </dgm:pt>
    <dgm:pt modelId="{AC6BBBDA-2C09-4439-8BB4-3C7060CBD69A}" type="pres">
      <dgm:prSet presAssocID="{D71B97C7-D712-4491-9CAC-08400AE1286C}" presName="spVertical1" presStyleCnt="0"/>
      <dgm:spPr/>
    </dgm:pt>
    <dgm:pt modelId="{AA20BEEE-3A07-4F62-BF8A-9F9DFC36F602}" type="pres">
      <dgm:prSet presAssocID="{D71B97C7-D712-4491-9CAC-08400AE1286C}" presName="parTx" presStyleLbl="revTx" presStyleIdx="2" presStyleCnt="3">
        <dgm:presLayoutVars>
          <dgm:chMax val="0"/>
          <dgm:chPref val="0"/>
          <dgm:bulletEnabled val="1"/>
        </dgm:presLayoutVars>
      </dgm:prSet>
      <dgm:spPr/>
    </dgm:pt>
    <dgm:pt modelId="{E481FA4D-6CE5-4E1C-BC1A-F2F0C297C4BC}" type="pres">
      <dgm:prSet presAssocID="{D71B97C7-D712-4491-9CAC-08400AE1286C}" presName="spVertical2" presStyleCnt="0"/>
      <dgm:spPr/>
    </dgm:pt>
    <dgm:pt modelId="{45352C49-ACEC-4C92-9866-719F88849F7B}" type="pres">
      <dgm:prSet presAssocID="{D71B97C7-D712-4491-9CAC-08400AE1286C}" presName="spVertical3" presStyleCnt="0"/>
      <dgm:spPr/>
    </dgm:pt>
    <dgm:pt modelId="{0CB878E7-55E3-480C-91B7-783F6FD206A3}" type="pres">
      <dgm:prSet presAssocID="{B480E947-3601-4891-B469-0780D8269C68}" presName="padding2" presStyleCnt="0"/>
      <dgm:spPr/>
    </dgm:pt>
    <dgm:pt modelId="{8F6D8FAC-02C3-4D56-ACEE-7D6E67947C60}" type="pres">
      <dgm:prSet presAssocID="{B480E947-3601-4891-B469-0780D8269C68}" presName="negArrow" presStyleCnt="0"/>
      <dgm:spPr/>
    </dgm:pt>
    <dgm:pt modelId="{8E1A5176-27D3-496D-9C08-ADB4AA4B050A}" type="pres">
      <dgm:prSet presAssocID="{B480E947-3601-4891-B469-0780D8269C68}" presName="backgroundArrow" presStyleLbl="node1" presStyleIdx="0" presStyleCnt="1"/>
      <dgm:spPr/>
    </dgm:pt>
  </dgm:ptLst>
  <dgm:cxnLst>
    <dgm:cxn modelId="{6DDF0F24-1DB7-4B2B-B911-7E0B8A320817}" type="presOf" srcId="{4C10DE76-0B9D-4475-956D-CD5780EEF1C0}" destId="{F3689EFD-00E4-484E-BA58-D6C0C4C6CDC4}" srcOrd="0" destOrd="0" presId="urn:microsoft.com/office/officeart/2005/8/layout/hProcess3"/>
    <dgm:cxn modelId="{F7721433-0591-447A-8AE8-C79FD8BAA147}" srcId="{B480E947-3601-4891-B469-0780D8269C68}" destId="{4C10DE76-0B9D-4475-956D-CD5780EEF1C0}" srcOrd="1" destOrd="0" parTransId="{18857FF0-AADE-4AB2-9A79-61F6FFF9E518}" sibTransId="{1AFC53C2-D12D-406D-A330-B832FD89388D}"/>
    <dgm:cxn modelId="{AECEF23D-8B51-43B5-BD80-4B9CB77E72E6}" type="presOf" srcId="{41F5B7F9-9ABF-49B0-864B-1951B273C0C3}" destId="{C6AC7F34-D962-4594-AE4F-5A064C915FCA}" srcOrd="0" destOrd="0" presId="urn:microsoft.com/office/officeart/2005/8/layout/hProcess3"/>
    <dgm:cxn modelId="{4AC6566B-A4F1-42FB-8F1F-97E0024EECC8}" srcId="{B480E947-3601-4891-B469-0780D8269C68}" destId="{D71B97C7-D712-4491-9CAC-08400AE1286C}" srcOrd="2" destOrd="0" parTransId="{7CACDDE8-94B6-4ACC-A7A8-450C61B704CE}" sibTransId="{09C04CA7-394B-4C6A-81B6-F0158DE61F53}"/>
    <dgm:cxn modelId="{1B50C459-F834-4FD3-A590-610B9D322613}" type="presOf" srcId="{B480E947-3601-4891-B469-0780D8269C68}" destId="{56C27DE5-D22C-4198-B9F2-48F5C0A303B5}" srcOrd="0" destOrd="0" presId="urn:microsoft.com/office/officeart/2005/8/layout/hProcess3"/>
    <dgm:cxn modelId="{71D9A0AD-B604-4BEF-9A35-B2146F801EC3}" type="presOf" srcId="{D71B97C7-D712-4491-9CAC-08400AE1286C}" destId="{AA20BEEE-3A07-4F62-BF8A-9F9DFC36F602}" srcOrd="0" destOrd="0" presId="urn:microsoft.com/office/officeart/2005/8/layout/hProcess3"/>
    <dgm:cxn modelId="{BF78C4D8-9F36-4302-8B01-93C0A831DE67}" srcId="{B480E947-3601-4891-B469-0780D8269C68}" destId="{41F5B7F9-9ABF-49B0-864B-1951B273C0C3}" srcOrd="0" destOrd="0" parTransId="{7DA62A95-D1D3-4612-974E-EFD832A1FA18}" sibTransId="{79980EA8-6D07-4C73-AC50-CB3BA6B134AC}"/>
    <dgm:cxn modelId="{7B0DEF16-7816-47F6-920A-40C592A913DF}" type="presParOf" srcId="{56C27DE5-D22C-4198-B9F2-48F5C0A303B5}" destId="{69511AB3-5E76-40B2-AF4D-20E81728A162}" srcOrd="0" destOrd="0" presId="urn:microsoft.com/office/officeart/2005/8/layout/hProcess3"/>
    <dgm:cxn modelId="{EC778648-4D7F-44E1-BF9A-B6D51F599305}" type="presParOf" srcId="{56C27DE5-D22C-4198-B9F2-48F5C0A303B5}" destId="{D4365A7C-E6A8-4EEB-9B66-750AB7DADE0F}" srcOrd="1" destOrd="0" presId="urn:microsoft.com/office/officeart/2005/8/layout/hProcess3"/>
    <dgm:cxn modelId="{FBA243FF-2A0B-4503-9E06-5C4D11FBA4CC}" type="presParOf" srcId="{D4365A7C-E6A8-4EEB-9B66-750AB7DADE0F}" destId="{ECAD6428-5927-427B-8D4A-7086276E183C}" srcOrd="0" destOrd="0" presId="urn:microsoft.com/office/officeart/2005/8/layout/hProcess3"/>
    <dgm:cxn modelId="{C2596567-63FD-4459-AA5F-D34F3388E394}" type="presParOf" srcId="{D4365A7C-E6A8-4EEB-9B66-750AB7DADE0F}" destId="{40D28740-F1F6-4A7C-8CCB-B926C768EEC5}" srcOrd="1" destOrd="0" presId="urn:microsoft.com/office/officeart/2005/8/layout/hProcess3"/>
    <dgm:cxn modelId="{E1A4495D-315F-4C1A-B017-93F8E2A1933F}" type="presParOf" srcId="{40D28740-F1F6-4A7C-8CCB-B926C768EEC5}" destId="{335EA886-7B1E-4D46-A272-217DF27254F2}" srcOrd="0" destOrd="0" presId="urn:microsoft.com/office/officeart/2005/8/layout/hProcess3"/>
    <dgm:cxn modelId="{FFCD0872-FDAB-4719-A345-CDBC74F08EE6}" type="presParOf" srcId="{40D28740-F1F6-4A7C-8CCB-B926C768EEC5}" destId="{C6AC7F34-D962-4594-AE4F-5A064C915FCA}" srcOrd="1" destOrd="0" presId="urn:microsoft.com/office/officeart/2005/8/layout/hProcess3"/>
    <dgm:cxn modelId="{B9F6B888-0944-4908-B972-97BE925A5DBE}" type="presParOf" srcId="{40D28740-F1F6-4A7C-8CCB-B926C768EEC5}" destId="{E77865D1-C0CA-4067-9B28-9CB8CB10B819}" srcOrd="2" destOrd="0" presId="urn:microsoft.com/office/officeart/2005/8/layout/hProcess3"/>
    <dgm:cxn modelId="{1C36D51E-397B-4693-B69D-9AB156836956}" type="presParOf" srcId="{40D28740-F1F6-4A7C-8CCB-B926C768EEC5}" destId="{82B58224-2698-42D2-86C9-3E0033C395D4}" srcOrd="3" destOrd="0" presId="urn:microsoft.com/office/officeart/2005/8/layout/hProcess3"/>
    <dgm:cxn modelId="{52B2E516-8FC8-419C-AD40-3AF7BAC5F1F7}" type="presParOf" srcId="{D4365A7C-E6A8-4EEB-9B66-750AB7DADE0F}" destId="{4EA9E1E8-A1E3-462E-A85A-A3180EF1A929}" srcOrd="2" destOrd="0" presId="urn:microsoft.com/office/officeart/2005/8/layout/hProcess3"/>
    <dgm:cxn modelId="{301CA3D8-4F73-4CB1-9E7C-7D0268494BB2}" type="presParOf" srcId="{D4365A7C-E6A8-4EEB-9B66-750AB7DADE0F}" destId="{E731082E-3A7A-4232-9879-6BDBE6BB63D2}" srcOrd="3" destOrd="0" presId="urn:microsoft.com/office/officeart/2005/8/layout/hProcess3"/>
    <dgm:cxn modelId="{BB719807-1058-4212-B438-A9456B86F509}" type="presParOf" srcId="{E731082E-3A7A-4232-9879-6BDBE6BB63D2}" destId="{044A9734-FBFC-4D4A-B0C4-567FE8A4354C}" srcOrd="0" destOrd="0" presId="urn:microsoft.com/office/officeart/2005/8/layout/hProcess3"/>
    <dgm:cxn modelId="{3E327DA3-FB85-4723-A871-C48047ED9375}" type="presParOf" srcId="{E731082E-3A7A-4232-9879-6BDBE6BB63D2}" destId="{F3689EFD-00E4-484E-BA58-D6C0C4C6CDC4}" srcOrd="1" destOrd="0" presId="urn:microsoft.com/office/officeart/2005/8/layout/hProcess3"/>
    <dgm:cxn modelId="{BE105FC1-D36B-4071-B842-A1615B432830}" type="presParOf" srcId="{E731082E-3A7A-4232-9879-6BDBE6BB63D2}" destId="{0878BB29-436F-4134-AC6E-32F2E9258F40}" srcOrd="2" destOrd="0" presId="urn:microsoft.com/office/officeart/2005/8/layout/hProcess3"/>
    <dgm:cxn modelId="{969C6F47-E8F8-44F2-9D3B-96D2B1C94B29}" type="presParOf" srcId="{E731082E-3A7A-4232-9879-6BDBE6BB63D2}" destId="{AC43705C-A515-4BDB-809E-F6F587C348E1}" srcOrd="3" destOrd="0" presId="urn:microsoft.com/office/officeart/2005/8/layout/hProcess3"/>
    <dgm:cxn modelId="{1FF1C542-BA81-469B-A9B3-10CE2B4F99AC}" type="presParOf" srcId="{D4365A7C-E6A8-4EEB-9B66-750AB7DADE0F}" destId="{76016DB5-6144-4186-AD28-D1D74DDC398E}" srcOrd="4" destOrd="0" presId="urn:microsoft.com/office/officeart/2005/8/layout/hProcess3"/>
    <dgm:cxn modelId="{DEA3513C-8F77-49F3-ADE7-5215C388FA26}" type="presParOf" srcId="{D4365A7C-E6A8-4EEB-9B66-750AB7DADE0F}" destId="{EF37D922-03AC-4F71-A958-5516AD5C101E}" srcOrd="5" destOrd="0" presId="urn:microsoft.com/office/officeart/2005/8/layout/hProcess3"/>
    <dgm:cxn modelId="{ADB35B25-08FF-4C1B-A850-27CEC7050A69}" type="presParOf" srcId="{EF37D922-03AC-4F71-A958-5516AD5C101E}" destId="{AC6BBBDA-2C09-4439-8BB4-3C7060CBD69A}" srcOrd="0" destOrd="0" presId="urn:microsoft.com/office/officeart/2005/8/layout/hProcess3"/>
    <dgm:cxn modelId="{5690C61B-E60B-44F4-8A01-B3FD0CEE0910}" type="presParOf" srcId="{EF37D922-03AC-4F71-A958-5516AD5C101E}" destId="{AA20BEEE-3A07-4F62-BF8A-9F9DFC36F602}" srcOrd="1" destOrd="0" presId="urn:microsoft.com/office/officeart/2005/8/layout/hProcess3"/>
    <dgm:cxn modelId="{FD760F51-67BA-4F4B-B694-16DB923D0F73}" type="presParOf" srcId="{EF37D922-03AC-4F71-A958-5516AD5C101E}" destId="{E481FA4D-6CE5-4E1C-BC1A-F2F0C297C4BC}" srcOrd="2" destOrd="0" presId="urn:microsoft.com/office/officeart/2005/8/layout/hProcess3"/>
    <dgm:cxn modelId="{F7F9E46D-E441-4080-AD22-F94254F166CA}" type="presParOf" srcId="{EF37D922-03AC-4F71-A958-5516AD5C101E}" destId="{45352C49-ACEC-4C92-9866-719F88849F7B}" srcOrd="3" destOrd="0" presId="urn:microsoft.com/office/officeart/2005/8/layout/hProcess3"/>
    <dgm:cxn modelId="{685B9275-01BC-4636-BAA8-EAD05C12A9E5}" type="presParOf" srcId="{D4365A7C-E6A8-4EEB-9B66-750AB7DADE0F}" destId="{0CB878E7-55E3-480C-91B7-783F6FD206A3}" srcOrd="6" destOrd="0" presId="urn:microsoft.com/office/officeart/2005/8/layout/hProcess3"/>
    <dgm:cxn modelId="{F41D2A13-E76C-49B2-9526-FFBBC241F065}" type="presParOf" srcId="{D4365A7C-E6A8-4EEB-9B66-750AB7DADE0F}" destId="{8F6D8FAC-02C3-4D56-ACEE-7D6E67947C60}" srcOrd="7" destOrd="0" presId="urn:microsoft.com/office/officeart/2005/8/layout/hProcess3"/>
    <dgm:cxn modelId="{D25E11FC-8588-40E7-8A14-9FC08C1DC0F8}" type="presParOf" srcId="{D4365A7C-E6A8-4EEB-9B66-750AB7DADE0F}" destId="{8E1A5176-27D3-496D-9C08-ADB4AA4B050A}" srcOrd="8" destOrd="0" presId="urn:microsoft.com/office/officeart/2005/8/layout/hProcess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1A5176-27D3-496D-9C08-ADB4AA4B050A}">
      <dsp:nvSpPr>
        <dsp:cNvPr id="0" name=""/>
        <dsp:cNvSpPr/>
      </dsp:nvSpPr>
      <dsp:spPr>
        <a:xfrm>
          <a:off x="0" y="289360"/>
          <a:ext cx="5731510" cy="1763158"/>
        </a:xfrm>
        <a:prstGeom prst="rightArrow">
          <a:avLst/>
        </a:prstGeom>
        <a:solidFill>
          <a:schemeClr val="accent6">
            <a:alpha val="90000"/>
            <a:hueOff val="0"/>
            <a:satOff val="0"/>
            <a:lumOff val="0"/>
            <a:alphaOff val="0"/>
          </a:schemeClr>
        </a:solidFill>
        <a:ln>
          <a:noFill/>
        </a:ln>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sp>
    <dsp:sp modelId="{AA20BEEE-3A07-4F62-BF8A-9F9DFC36F602}">
      <dsp:nvSpPr>
        <dsp:cNvPr id="0" name=""/>
        <dsp:cNvSpPr/>
      </dsp:nvSpPr>
      <dsp:spPr>
        <a:xfrm>
          <a:off x="3777255" y="730150"/>
          <a:ext cx="1381103" cy="881579"/>
        </a:xfrm>
        <a:prstGeom prst="rect">
          <a:avLst/>
        </a:prstGeom>
        <a:solidFill>
          <a:schemeClr val="lt1">
            <a:alpha val="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0" tIns="182880" rIns="0" bIns="182880" numCol="1" spcCol="1270" anchor="ctr" anchorCtr="0">
          <a:noAutofit/>
        </a:bodyPr>
        <a:lstStyle/>
        <a:p>
          <a:pPr marL="0" lvl="0" indent="0" algn="ctr" defTabSz="800100">
            <a:lnSpc>
              <a:spcPct val="90000"/>
            </a:lnSpc>
            <a:spcBef>
              <a:spcPct val="0"/>
            </a:spcBef>
            <a:spcAft>
              <a:spcPct val="35000"/>
            </a:spcAft>
            <a:buNone/>
          </a:pPr>
          <a:r>
            <a:rPr lang="en-GB" sz="1800" kern="1200"/>
            <a:t>Practical Considerations  </a:t>
          </a:r>
        </a:p>
      </dsp:txBody>
      <dsp:txXfrm>
        <a:off x="3777255" y="730150"/>
        <a:ext cx="1381103" cy="881579"/>
      </dsp:txXfrm>
    </dsp:sp>
    <dsp:sp modelId="{F3689EFD-00E4-484E-BA58-D6C0C4C6CDC4}">
      <dsp:nvSpPr>
        <dsp:cNvPr id="0" name=""/>
        <dsp:cNvSpPr/>
      </dsp:nvSpPr>
      <dsp:spPr>
        <a:xfrm>
          <a:off x="2119931" y="730150"/>
          <a:ext cx="1381103" cy="881579"/>
        </a:xfrm>
        <a:prstGeom prst="rect">
          <a:avLst/>
        </a:prstGeom>
        <a:solidFill>
          <a:schemeClr val="lt1">
            <a:alpha val="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0" tIns="182880" rIns="0" bIns="182880" numCol="1" spcCol="1270" anchor="ctr" anchorCtr="0">
          <a:noAutofit/>
        </a:bodyPr>
        <a:lstStyle/>
        <a:p>
          <a:pPr marL="0" lvl="0" indent="0" algn="ctr" defTabSz="800100">
            <a:lnSpc>
              <a:spcPct val="90000"/>
            </a:lnSpc>
            <a:spcBef>
              <a:spcPct val="0"/>
            </a:spcBef>
            <a:spcAft>
              <a:spcPct val="35000"/>
            </a:spcAft>
            <a:buNone/>
          </a:pPr>
          <a:r>
            <a:rPr lang="en-GB" sz="1800" kern="1200"/>
            <a:t>Policy Aspirations</a:t>
          </a:r>
        </a:p>
      </dsp:txBody>
      <dsp:txXfrm>
        <a:off x="2119931" y="730150"/>
        <a:ext cx="1381103" cy="881579"/>
      </dsp:txXfrm>
    </dsp:sp>
    <dsp:sp modelId="{C6AC7F34-D962-4594-AE4F-5A064C915FCA}">
      <dsp:nvSpPr>
        <dsp:cNvPr id="0" name=""/>
        <dsp:cNvSpPr/>
      </dsp:nvSpPr>
      <dsp:spPr>
        <a:xfrm>
          <a:off x="462606" y="730150"/>
          <a:ext cx="1381103" cy="881579"/>
        </a:xfrm>
        <a:prstGeom prst="rect">
          <a:avLst/>
        </a:prstGeom>
        <a:solidFill>
          <a:schemeClr val="lt1">
            <a:alpha val="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0" tIns="182880" rIns="0" bIns="182880" numCol="1" spcCol="1270" anchor="ctr" anchorCtr="0">
          <a:noAutofit/>
        </a:bodyPr>
        <a:lstStyle/>
        <a:p>
          <a:pPr marL="0" lvl="0" indent="0" algn="ctr" defTabSz="800100">
            <a:lnSpc>
              <a:spcPct val="90000"/>
            </a:lnSpc>
            <a:spcBef>
              <a:spcPct val="0"/>
            </a:spcBef>
            <a:spcAft>
              <a:spcPct val="35000"/>
            </a:spcAft>
            <a:buNone/>
          </a:pPr>
          <a:r>
            <a:rPr lang="en-GB" sz="1800" kern="1200"/>
            <a:t>HNDA</a:t>
          </a:r>
        </a:p>
      </dsp:txBody>
      <dsp:txXfrm>
        <a:off x="462606" y="730150"/>
        <a:ext cx="1381103" cy="88157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6">
  <dgm:title val=""/>
  <dgm:desc val=""/>
  <dgm:catLst>
    <dgm:cat type="3D" pri="11600"/>
  </dgm:catLst>
  <dgm:scene3d>
    <a:camera prst="perspectiveRelaxedModerately" zoom="92000"/>
    <a:lightRig rig="balanced" dir="t">
      <a:rot lat="0" lon="0" rev="12700000"/>
    </a:lightRig>
  </dgm:scene3d>
  <dgm:styleLbl name="node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z="-54000" prstMaterial="plastic">
      <a:bevelT w="50800" h="50800"/>
      <a:bevelB w="50800" h="50800"/>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z="-2540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54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25400" prstMaterial="plastic"/>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75000" prstMaterial="plastic"/>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3">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4">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1D1">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2">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3">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4">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fgAcc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z="50080" prstMaterial="plastic">
      <a:bevelT w="25400" h="25400"/>
      <a:bevelB w="25400" h="25400"/>
    </dgm:sp3d>
    <dgm:txPr/>
    <dgm:style>
      <a:lnRef idx="0">
        <a:scrgbClr r="0" g="0" b="0"/>
      </a:lnRef>
      <a:fillRef idx="1">
        <a:scrgbClr r="0" g="0" b="0"/>
      </a:fillRef>
      <a:effectRef idx="2">
        <a:scrgbClr r="0" g="0" b="0"/>
      </a:effectRef>
      <a:fontRef idx="minor"/>
    </dgm:style>
  </dgm:styleLbl>
  <dgm:styleLbl name="alignAccFollowNode1">
    <dgm:scene3d>
      <a:camera prst="orthographicFront"/>
      <a:lightRig rig="threePt" dir="t"/>
    </dgm:scene3d>
    <dgm:sp3d prstMaterial="plastic">
      <a:bevelT w="25400" h="25400"/>
      <a:bevelB w="25400" h="25400"/>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prstMaterial="plastic">
      <a:bevelT w="25400" h="25400"/>
      <a:bevelB w="25400" h="25400"/>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52400" prstMaterial="plastic">
      <a:bevelT w="25400" h="25400"/>
      <a:bevelB w="25400" h="25400"/>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z="-10400" extrusionH="12700" prstMaterial="plastic"/>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1">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6550DA-C029-4F8D-900C-B797A7A39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4099</Words>
  <Characters>23368</Characters>
  <Application>Microsoft Office Word</Application>
  <DocSecurity>0</DocSecurity>
  <Lines>194</Lines>
  <Paragraphs>54</Paragraphs>
  <ScaleCrop>false</ScaleCrop>
  <Company/>
  <LinksUpToDate>false</LinksUpToDate>
  <CharactersWithSpaces>27413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2024-02-15T10:11:00Z</dcterms:created>
  <dcterms:modified xsi:type="dcterms:W3CDTF">2024-02-15T10:17:00Z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2561c42e,2b55b48f,52970a73</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2024-02-15T10:17:16Z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569bac2e-653f-44a7-bbc8-6804c6e1996d</vt:lpwstr>
  </property>
  <property fmtid="{D5CDD505-2E9C-101B-9397-08002B2CF9AE}" pid="11" name="MSIP_Label_ed63e432-7a5b-4534-ada9-2e736aca8ba4_ContentBits">
    <vt:lpwstr>1</vt:lpwstr>
  </property>
</Properties>
</file>