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1D69" w14:textId="0B1BDD6C" w:rsidR="008D1A33" w:rsidRDefault="008D1A33" w:rsidP="00907627">
      <w:pPr>
        <w:pStyle w:val="Heading11"/>
        <w:keepNext w:val="0"/>
        <w:widowControl w:val="0"/>
        <w:spacing w:line="276" w:lineRule="auto"/>
        <w:ind w:left="0"/>
        <w:rPr>
          <w:noProof/>
        </w:rPr>
      </w:pPr>
    </w:p>
    <w:p w14:paraId="780284CD" w14:textId="4F8E5333" w:rsidR="00907627" w:rsidRDefault="00907627" w:rsidP="00907627">
      <w:pPr>
        <w:pStyle w:val="Heading11"/>
        <w:keepNext w:val="0"/>
        <w:widowControl w:val="0"/>
        <w:spacing w:line="276" w:lineRule="auto"/>
        <w:ind w:left="0"/>
        <w:rPr>
          <w:noProof/>
        </w:rPr>
      </w:pPr>
    </w:p>
    <w:p w14:paraId="36042416" w14:textId="5D736A1F" w:rsidR="008D1A33" w:rsidRDefault="00907627" w:rsidP="00907627">
      <w:pPr>
        <w:pStyle w:val="Heading11"/>
        <w:keepNext w:val="0"/>
        <w:widowControl w:val="0"/>
        <w:spacing w:line="276" w:lineRule="auto"/>
        <w:ind w:left="0"/>
        <w:rPr>
          <w:noProof/>
          <w:color w:val="FF6600"/>
        </w:rPr>
      </w:pPr>
      <w:r>
        <w:rPr>
          <w:noProof/>
        </w:rPr>
        <w:drawing>
          <wp:inline distT="0" distB="0" distL="0" distR="0" wp14:anchorId="48ACE964" wp14:editId="2018924D">
            <wp:extent cx="1946275" cy="1257300"/>
            <wp:effectExtent l="0" t="0" r="0" b="0"/>
            <wp:docPr id="7" name="Picture 7"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038" cy="1321101"/>
                    </a:xfrm>
                    <a:prstGeom prst="rect">
                      <a:avLst/>
                    </a:prstGeom>
                    <a:noFill/>
                    <a:ln>
                      <a:noFill/>
                    </a:ln>
                  </pic:spPr>
                </pic:pic>
              </a:graphicData>
            </a:graphic>
          </wp:inline>
        </w:drawing>
      </w:r>
    </w:p>
    <w:p w14:paraId="57E93748" w14:textId="77777777" w:rsidR="008D1A33" w:rsidRDefault="008D1A33" w:rsidP="008D1A33">
      <w:pPr>
        <w:pStyle w:val="Heading11"/>
        <w:keepNext w:val="0"/>
        <w:widowControl w:val="0"/>
        <w:spacing w:line="276" w:lineRule="auto"/>
        <w:jc w:val="left"/>
        <w:rPr>
          <w:noProof/>
          <w:color w:val="FF6600"/>
        </w:rPr>
      </w:pPr>
    </w:p>
    <w:p w14:paraId="28FAB673" w14:textId="470A2AE3" w:rsidR="008D1A33" w:rsidRPr="00861CA0" w:rsidRDefault="008D1A33" w:rsidP="008D1A33">
      <w:pPr>
        <w:pStyle w:val="Heading11"/>
        <w:keepNext w:val="0"/>
        <w:widowControl w:val="0"/>
        <w:spacing w:line="276" w:lineRule="auto"/>
        <w:rPr>
          <w:noProof/>
        </w:rPr>
      </w:pPr>
    </w:p>
    <w:p w14:paraId="353625D5" w14:textId="77777777" w:rsidR="008D1A33" w:rsidRDefault="008D1A33" w:rsidP="008D1A33">
      <w:pPr>
        <w:pStyle w:val="Heading11"/>
        <w:keepNext w:val="0"/>
        <w:widowControl w:val="0"/>
        <w:spacing w:line="276" w:lineRule="auto"/>
        <w:jc w:val="left"/>
        <w:rPr>
          <w:noProof/>
          <w:color w:val="FF6600"/>
        </w:rPr>
      </w:pPr>
    </w:p>
    <w:p w14:paraId="79561DDD" w14:textId="77777777" w:rsidR="008D1A33" w:rsidRDefault="008D1A33" w:rsidP="00D74D6A">
      <w:pPr>
        <w:pStyle w:val="Heading11"/>
        <w:keepNext w:val="0"/>
        <w:widowControl w:val="0"/>
        <w:spacing w:line="276" w:lineRule="auto"/>
        <w:rPr>
          <w:noProof/>
          <w:color w:val="FF6600"/>
        </w:rPr>
      </w:pPr>
    </w:p>
    <w:p w14:paraId="00A6383C" w14:textId="65574207" w:rsidR="005F08F0" w:rsidRDefault="00D74D6A" w:rsidP="00907627">
      <w:pPr>
        <w:pStyle w:val="Heading11"/>
        <w:keepNext w:val="0"/>
        <w:widowControl w:val="0"/>
        <w:spacing w:line="276" w:lineRule="auto"/>
        <w:ind w:left="0"/>
        <w:jc w:val="left"/>
        <w:rPr>
          <w:noProof/>
          <w:color w:val="FF6600"/>
        </w:rPr>
      </w:pPr>
      <w:r>
        <w:rPr>
          <w:noProof/>
        </w:rPr>
        <mc:AlternateContent>
          <mc:Choice Requires="wps">
            <w:drawing>
              <wp:anchor distT="0" distB="0" distL="114300" distR="114300" simplePos="0" relativeHeight="251659264" behindDoc="0" locked="0" layoutInCell="1" allowOverlap="1" wp14:anchorId="79C21636" wp14:editId="583B9A1E">
                <wp:simplePos x="0" y="0"/>
                <wp:positionH relativeFrom="column">
                  <wp:posOffset>261620</wp:posOffset>
                </wp:positionH>
                <wp:positionV relativeFrom="paragraph">
                  <wp:posOffset>190500</wp:posOffset>
                </wp:positionV>
                <wp:extent cx="5257800" cy="217678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7678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77ADC6E6" w14:textId="77777777" w:rsidR="008D1A33" w:rsidRPr="00176A9D" w:rsidRDefault="008D1A33" w:rsidP="008D1A33">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28"/>
                                <w:szCs w:val="28"/>
                              </w:rPr>
                            </w:pPr>
                          </w:p>
                          <w:p w14:paraId="60B462FC" w14:textId="11BE3FE2" w:rsidR="008D1A33" w:rsidRDefault="008D1A33" w:rsidP="00D74D6A">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0"/>
                                <w:szCs w:val="40"/>
                              </w:rPr>
                            </w:pPr>
                            <w:r w:rsidRPr="000F4BD0">
                              <w:rPr>
                                <w:rFonts w:ascii="Arial" w:hAnsi="Arial" w:cs="Arial"/>
                                <w:b w:val="0"/>
                                <w:sz w:val="40"/>
                                <w:szCs w:val="40"/>
                              </w:rPr>
                              <w:t>Multi-Agency Guidance for Children and Young People who Display Harmful and Problematic Sexual Behaviours</w:t>
                            </w:r>
                            <w:r w:rsidR="009312AB">
                              <w:rPr>
                                <w:rFonts w:ascii="Arial" w:hAnsi="Arial" w:cs="Arial"/>
                                <w:b w:val="0"/>
                                <w:sz w:val="40"/>
                                <w:szCs w:val="40"/>
                              </w:rPr>
                              <w:t>.</w:t>
                            </w:r>
                          </w:p>
                          <w:p w14:paraId="4AA57CE5" w14:textId="49B53515" w:rsidR="00907627" w:rsidRDefault="00907627" w:rsidP="00D74D6A">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0"/>
                                <w:szCs w:val="40"/>
                              </w:rPr>
                            </w:pPr>
                          </w:p>
                          <w:p w14:paraId="47C242F1" w14:textId="575EA73C" w:rsidR="00907627" w:rsidRPr="00907627" w:rsidRDefault="00907627" w:rsidP="00907627">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jc w:val="left"/>
                              <w:rPr>
                                <w:rFonts w:ascii="Arial" w:hAnsi="Arial" w:cs="Arial"/>
                                <w:b w:val="0"/>
                                <w:sz w:val="20"/>
                              </w:rPr>
                            </w:pPr>
                            <w:r w:rsidRPr="00907627">
                              <w:rPr>
                                <w:rFonts w:ascii="Arial" w:hAnsi="Arial" w:cs="Arial"/>
                                <w:b w:val="0"/>
                                <w:sz w:val="20"/>
                              </w:rPr>
                              <w:t>June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1636" id="_x0000_t202" coordsize="21600,21600" o:spt="202" path="m,l,21600r21600,l21600,xe">
                <v:stroke joinstyle="miter"/>
                <v:path gradientshapeok="t" o:connecttype="rect"/>
              </v:shapetype>
              <v:shape id="Text Box 5" o:spid="_x0000_s1026" type="#_x0000_t202" style="position:absolute;margin-left:20.6pt;margin-top:15pt;width:414pt;height:1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" filled="f" stroked="f">
                <v:textbox inset=",7.2pt,,7.2pt">
                  <w:txbxContent>
                    <w:p w14:paraId="77ADC6E6" w14:textId="77777777" w:rsidR="008D1A33" w:rsidRPr="00176A9D" w:rsidRDefault="008D1A33" w:rsidP="008D1A33">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28"/>
                          <w:szCs w:val="28"/>
                        </w:rPr>
                      </w:pPr>
                    </w:p>
                    <w:p w14:paraId="60B462FC" w14:textId="11BE3FE2" w:rsidR="008D1A33" w:rsidRDefault="008D1A33" w:rsidP="00D74D6A">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0"/>
                          <w:szCs w:val="40"/>
                        </w:rPr>
                      </w:pPr>
                      <w:r w:rsidRPr="000F4BD0">
                        <w:rPr>
                          <w:rFonts w:ascii="Arial" w:hAnsi="Arial" w:cs="Arial"/>
                          <w:b w:val="0"/>
                          <w:sz w:val="40"/>
                          <w:szCs w:val="40"/>
                        </w:rPr>
                        <w:t>Multi-Agency Guidance for Children and Young People who Display Harmful and Problematic Sexual Behaviours</w:t>
                      </w:r>
                      <w:r w:rsidR="009312AB">
                        <w:rPr>
                          <w:rFonts w:ascii="Arial" w:hAnsi="Arial" w:cs="Arial"/>
                          <w:b w:val="0"/>
                          <w:sz w:val="40"/>
                          <w:szCs w:val="40"/>
                        </w:rPr>
                        <w:t>.</w:t>
                      </w:r>
                    </w:p>
                    <w:p w14:paraId="4AA57CE5" w14:textId="49B53515" w:rsidR="00907627" w:rsidRDefault="00907627" w:rsidP="00D74D6A">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rPr>
                          <w:rFonts w:ascii="Arial" w:hAnsi="Arial" w:cs="Arial"/>
                          <w:b w:val="0"/>
                          <w:sz w:val="40"/>
                          <w:szCs w:val="40"/>
                        </w:rPr>
                      </w:pPr>
                    </w:p>
                    <w:p w14:paraId="47C242F1" w14:textId="575EA73C" w:rsidR="00907627" w:rsidRPr="00907627" w:rsidRDefault="00907627" w:rsidP="00907627">
                      <w:pPr>
                        <w:pStyle w:val="Heading11"/>
                        <w:widowControl w:val="0"/>
                        <w:pBdr>
                          <w:top w:val="thinThickSmallGap" w:sz="24" w:space="2" w:color="17365D"/>
                          <w:left w:val="thinThickSmallGap" w:sz="24" w:space="4" w:color="17365D"/>
                          <w:bottom w:val="thickThinSmallGap" w:sz="24" w:space="1" w:color="17365D"/>
                          <w:right w:val="thickThinSmallGap" w:sz="24" w:space="0" w:color="17365D"/>
                        </w:pBdr>
                        <w:jc w:val="left"/>
                        <w:rPr>
                          <w:rFonts w:ascii="Arial" w:hAnsi="Arial" w:cs="Arial"/>
                          <w:b w:val="0"/>
                          <w:sz w:val="20"/>
                        </w:rPr>
                      </w:pPr>
                      <w:r w:rsidRPr="00907627">
                        <w:rPr>
                          <w:rFonts w:ascii="Arial" w:hAnsi="Arial" w:cs="Arial"/>
                          <w:b w:val="0"/>
                          <w:sz w:val="20"/>
                        </w:rPr>
                        <w:t>June 2023</w:t>
                      </w:r>
                    </w:p>
                  </w:txbxContent>
                </v:textbox>
                <w10:wrap type="square"/>
              </v:shape>
            </w:pict>
          </mc:Fallback>
        </mc:AlternateContent>
      </w:r>
    </w:p>
    <w:p w14:paraId="5F8CEBEB" w14:textId="77777777" w:rsidR="00907627" w:rsidRPr="00907627" w:rsidRDefault="00907627" w:rsidP="00907627">
      <w:pPr>
        <w:pStyle w:val="Heading11"/>
        <w:keepNext w:val="0"/>
        <w:widowControl w:val="0"/>
        <w:spacing w:line="276" w:lineRule="auto"/>
        <w:ind w:left="0"/>
        <w:jc w:val="left"/>
        <w:rPr>
          <w:noProof/>
          <w:color w:val="FF6600"/>
        </w:rPr>
      </w:pPr>
    </w:p>
    <w:p w14:paraId="2E7CD88F" w14:textId="77777777" w:rsidR="005F08F0" w:rsidRPr="005F08F0" w:rsidRDefault="005F08F0" w:rsidP="005F08F0">
      <w:pPr>
        <w:jc w:val="center"/>
        <w:rPr>
          <w:rFonts w:ascii="Arial" w:hAnsi="Arial" w:cs="Arial"/>
          <w:b/>
          <w:color w:val="002060"/>
          <w:u w:val="single"/>
        </w:rPr>
      </w:pPr>
      <w:r w:rsidRPr="005F08F0">
        <w:rPr>
          <w:rFonts w:ascii="Arial" w:hAnsi="Arial" w:cs="Arial"/>
          <w:b/>
          <w:color w:val="002060"/>
          <w:u w:val="single"/>
        </w:rPr>
        <w:t>1. BACKGROUND</w:t>
      </w:r>
    </w:p>
    <w:p w14:paraId="068CA90C" w14:textId="77777777" w:rsidR="005F08F0" w:rsidRPr="005F08F0" w:rsidRDefault="005F08F0" w:rsidP="005F08F0">
      <w:pPr>
        <w:jc w:val="center"/>
        <w:rPr>
          <w:rFonts w:ascii="Arial" w:hAnsi="Arial" w:cs="Arial"/>
          <w:color w:val="002060"/>
          <w:u w:val="single"/>
        </w:rPr>
      </w:pPr>
    </w:p>
    <w:p w14:paraId="5D3DE34C" w14:textId="77777777" w:rsidR="005F08F0" w:rsidRPr="005F08F0" w:rsidRDefault="005F08F0" w:rsidP="005F08F0">
      <w:pPr>
        <w:jc w:val="center"/>
        <w:rPr>
          <w:rFonts w:ascii="Arial" w:hAnsi="Arial" w:cs="Arial"/>
          <w:b/>
          <w:color w:val="002060"/>
          <w:u w:val="single"/>
        </w:rPr>
      </w:pPr>
      <w:r w:rsidRPr="005F08F0">
        <w:rPr>
          <w:rFonts w:ascii="Arial" w:hAnsi="Arial" w:cs="Arial"/>
          <w:b/>
          <w:color w:val="002060"/>
          <w:u w:val="single"/>
        </w:rPr>
        <w:t>1.1 Introduction and Key Themes</w:t>
      </w:r>
    </w:p>
    <w:p w14:paraId="2A45CA11" w14:textId="77777777" w:rsidR="005F08F0" w:rsidRPr="004566F7" w:rsidRDefault="005F08F0" w:rsidP="005F08F0">
      <w:pPr>
        <w:spacing w:line="360" w:lineRule="auto"/>
        <w:rPr>
          <w:rFonts w:ascii="Arial" w:hAnsi="Arial" w:cs="Arial"/>
        </w:rPr>
      </w:pPr>
    </w:p>
    <w:p w14:paraId="5265BC1A" w14:textId="1D7381E1" w:rsidR="009312AB" w:rsidRDefault="005F08F0" w:rsidP="009C031D">
      <w:pPr>
        <w:spacing w:line="360" w:lineRule="auto"/>
        <w:jc w:val="center"/>
        <w:rPr>
          <w:rFonts w:ascii="Comic Sans MS" w:hAnsi="Comic Sans MS" w:cs="Arial"/>
          <w:spacing w:val="-1"/>
          <w:shd w:val="clear" w:color="auto" w:fill="FFFFFF"/>
        </w:rPr>
      </w:pPr>
      <w:r w:rsidRPr="005F08F0">
        <w:rPr>
          <w:rFonts w:ascii="Comic Sans MS" w:hAnsi="Comic Sans MS" w:cs="Arial"/>
          <w:spacing w:val="-1"/>
          <w:shd w:val="clear" w:color="auto" w:fill="FFFFFF"/>
        </w:rPr>
        <w:t>Harmful sexual behaviour (HSB) is developmentally inappropriate sexual behaviour displayed by children and young people unde</w:t>
      </w:r>
      <w:r w:rsidR="00907627">
        <w:rPr>
          <w:rFonts w:ascii="Comic Sans MS" w:hAnsi="Comic Sans MS" w:cs="Arial"/>
          <w:spacing w:val="-1"/>
          <w:shd w:val="clear" w:color="auto" w:fill="FFFFFF"/>
        </w:rPr>
        <w:t>r the age of 18 years old</w:t>
      </w:r>
      <w:r w:rsidRPr="005F08F0">
        <w:rPr>
          <w:rFonts w:ascii="Comic Sans MS" w:hAnsi="Comic Sans MS" w:cs="Arial"/>
          <w:spacing w:val="-1"/>
          <w:shd w:val="clear" w:color="auto" w:fill="FFFFFF"/>
        </w:rPr>
        <w:t xml:space="preserve">, </w:t>
      </w:r>
      <w:r w:rsidR="00907627">
        <w:rPr>
          <w:rFonts w:ascii="Comic Sans MS" w:hAnsi="Comic Sans MS" w:cs="Arial"/>
          <w:spacing w:val="-1"/>
          <w:shd w:val="clear" w:color="auto" w:fill="FFFFFF"/>
        </w:rPr>
        <w:t xml:space="preserve">that </w:t>
      </w:r>
      <w:r w:rsidRPr="005F08F0">
        <w:rPr>
          <w:rFonts w:ascii="Comic Sans MS" w:hAnsi="Comic Sans MS" w:cs="Arial"/>
          <w:spacing w:val="-1"/>
          <w:shd w:val="clear" w:color="auto" w:fill="FFFFFF"/>
        </w:rPr>
        <w:t>may be harmful towards self or others, or be abusive towards another child, young person or adult (Hackett, 2014).</w:t>
      </w:r>
      <w:r w:rsidR="00907627">
        <w:rPr>
          <w:rFonts w:ascii="Comic Sans MS" w:hAnsi="Comic Sans MS" w:cs="Arial"/>
          <w:spacing w:val="-1"/>
          <w:shd w:val="clear" w:color="auto" w:fill="FFFFFF"/>
        </w:rPr>
        <w:t xml:space="preserve">  Google the </w:t>
      </w:r>
      <w:r w:rsidR="009312AB">
        <w:rPr>
          <w:rFonts w:ascii="Comic Sans MS" w:hAnsi="Comic Sans MS" w:cs="Arial"/>
          <w:spacing w:val="-1"/>
          <w:shd w:val="clear" w:color="auto" w:fill="FFFFFF"/>
        </w:rPr>
        <w:t xml:space="preserve">link below </w:t>
      </w:r>
      <w:r w:rsidR="00907627">
        <w:rPr>
          <w:rFonts w:ascii="Comic Sans MS" w:hAnsi="Comic Sans MS" w:cs="Arial"/>
          <w:spacing w:val="-1"/>
          <w:shd w:val="clear" w:color="auto" w:fill="FFFFFF"/>
        </w:rPr>
        <w:t xml:space="preserve">which </w:t>
      </w:r>
      <w:r w:rsidR="009312AB">
        <w:rPr>
          <w:rFonts w:ascii="Comic Sans MS" w:hAnsi="Comic Sans MS" w:cs="Arial"/>
          <w:spacing w:val="-1"/>
          <w:shd w:val="clear" w:color="auto" w:fill="FFFFFF"/>
        </w:rPr>
        <w:t>will give you further information to read alongside this protocol.</w:t>
      </w:r>
    </w:p>
    <w:p w14:paraId="23EE07B1" w14:textId="77777777" w:rsidR="005F08F0" w:rsidRPr="005F08F0" w:rsidRDefault="009C031D" w:rsidP="009C031D">
      <w:pPr>
        <w:spacing w:line="360" w:lineRule="auto"/>
        <w:jc w:val="center"/>
        <w:rPr>
          <w:rFonts w:ascii="Comic Sans MS" w:hAnsi="Comic Sans MS" w:cs="Arial"/>
          <w:spacing w:val="-1"/>
          <w:shd w:val="clear" w:color="auto" w:fill="FFFFFF"/>
        </w:rPr>
      </w:pPr>
      <w:r w:rsidRPr="009C031D">
        <w:t xml:space="preserve"> </w:t>
      </w:r>
      <w:r w:rsidR="009312AB">
        <w:t xml:space="preserve">  </w:t>
      </w:r>
      <w:hyperlink r:id="rId8" w:history="1">
        <w:r w:rsidRPr="003761EF">
          <w:rPr>
            <w:rStyle w:val="Hyperlink"/>
            <w:rFonts w:ascii="Comic Sans MS" w:hAnsi="Comic Sans MS" w:cs="Arial"/>
            <w:spacing w:val="-1"/>
            <w:shd w:val="clear" w:color="auto" w:fill="FFFFFF"/>
          </w:rPr>
          <w:t>https://www.icmec.org/wp-content/uploads/2019/07/Hackett-Continuum-of-Harmful-Behavior-Excerpted.pdf</w:t>
        </w:r>
      </w:hyperlink>
    </w:p>
    <w:p w14:paraId="7DA9C765" w14:textId="77777777" w:rsidR="005F08F0" w:rsidRPr="005F08F0" w:rsidRDefault="005F08F0" w:rsidP="005F08F0">
      <w:pPr>
        <w:spacing w:line="360" w:lineRule="auto"/>
        <w:jc w:val="center"/>
        <w:rPr>
          <w:rFonts w:ascii="Comic Sans MS" w:hAnsi="Comic Sans MS" w:cs="Arial"/>
        </w:rPr>
      </w:pPr>
      <w:r w:rsidRPr="005F08F0">
        <w:rPr>
          <w:rFonts w:ascii="Comic Sans MS" w:hAnsi="Comic Sans MS" w:cs="Arial"/>
        </w:rPr>
        <w:lastRenderedPageBreak/>
        <w:t>Often, children who have engaged in harmful or problematic sexual behaviours are unique in that society views them differently than if they engaged in other types of hurtful behaviour. However, children and young people who display or engage in harmful or problematic sexual behaviours need to be seen as children first and foremost, recognising that children and young people are developmentally different to adults and responses should reflect this.</w:t>
      </w:r>
    </w:p>
    <w:p w14:paraId="7553736F" w14:textId="77777777" w:rsidR="005F08F0" w:rsidRDefault="005F08F0" w:rsidP="005F08F0">
      <w:pPr>
        <w:pStyle w:val="NormalWeb"/>
        <w:shd w:val="clear" w:color="auto" w:fill="FFFFFF"/>
        <w:spacing w:before="0" w:beforeAutospacing="0" w:after="300" w:afterAutospacing="0" w:line="360" w:lineRule="auto"/>
        <w:jc w:val="center"/>
        <w:rPr>
          <w:rFonts w:ascii="Comic Sans MS" w:hAnsi="Comic Sans MS" w:cs="Arial"/>
          <w:color w:val="000000"/>
          <w:sz w:val="22"/>
          <w:szCs w:val="22"/>
        </w:rPr>
      </w:pPr>
      <w:r w:rsidRPr="005F08F0">
        <w:rPr>
          <w:rFonts w:ascii="Comic Sans MS" w:hAnsi="Comic Sans MS" w:cs="Arial"/>
          <w:color w:val="000000"/>
          <w:sz w:val="22"/>
          <w:szCs w:val="22"/>
        </w:rPr>
        <w:t>Children and young people display a range of sexualised behaviours as they grow up. However some may display problematic or abusive sexualised behaviour. This is harmful to the children who display it as well as the people it's directed towards (NSPCC, 2021)</w:t>
      </w:r>
      <w:r w:rsidR="009312AB">
        <w:rPr>
          <w:rFonts w:ascii="Comic Sans MS" w:hAnsi="Comic Sans MS" w:cs="Arial"/>
          <w:color w:val="000000"/>
          <w:sz w:val="22"/>
          <w:szCs w:val="22"/>
        </w:rPr>
        <w:t>.  The link below will give you further information about recent research.</w:t>
      </w:r>
    </w:p>
    <w:p w14:paraId="1D80725F" w14:textId="77777777" w:rsidR="009C031D" w:rsidRPr="005F08F0" w:rsidRDefault="00BF4DA4" w:rsidP="009312AB">
      <w:pPr>
        <w:pStyle w:val="NormalWeb"/>
        <w:shd w:val="clear" w:color="auto" w:fill="FFFFFF"/>
        <w:spacing w:before="0" w:beforeAutospacing="0" w:after="300" w:afterAutospacing="0" w:line="360" w:lineRule="auto"/>
        <w:jc w:val="center"/>
        <w:rPr>
          <w:rFonts w:ascii="Comic Sans MS" w:hAnsi="Comic Sans MS" w:cs="Arial"/>
          <w:color w:val="000000"/>
          <w:sz w:val="22"/>
          <w:szCs w:val="22"/>
        </w:rPr>
      </w:pPr>
      <w:hyperlink r:id="rId9" w:history="1">
        <w:r w:rsidR="009312AB" w:rsidRPr="003761EF">
          <w:rPr>
            <w:rStyle w:val="Hyperlink"/>
            <w:rFonts w:ascii="Comic Sans MS" w:hAnsi="Comic Sans MS" w:cs="Arial"/>
            <w:sz w:val="22"/>
            <w:szCs w:val="22"/>
          </w:rPr>
          <w:t>https://www.csacentre.org.uk/resources/key-messages/harmful-sexual-behaviour/</w:t>
        </w:r>
      </w:hyperlink>
    </w:p>
    <w:p w14:paraId="63B06287" w14:textId="77777777" w:rsidR="005F08F0" w:rsidRPr="005F08F0" w:rsidRDefault="005F08F0" w:rsidP="005F08F0">
      <w:pPr>
        <w:pStyle w:val="NormalWeb"/>
        <w:shd w:val="clear" w:color="auto" w:fill="FFFFFF"/>
        <w:spacing w:before="0" w:beforeAutospacing="0" w:after="300" w:afterAutospacing="0" w:line="360" w:lineRule="auto"/>
        <w:jc w:val="center"/>
        <w:rPr>
          <w:rFonts w:ascii="Comic Sans MS" w:hAnsi="Comic Sans MS" w:cs="Arial"/>
          <w:color w:val="000000"/>
          <w:sz w:val="22"/>
          <w:szCs w:val="22"/>
        </w:rPr>
      </w:pPr>
      <w:r w:rsidRPr="005F08F0">
        <w:rPr>
          <w:rFonts w:ascii="Comic Sans MS" w:hAnsi="Comic Sans MS" w:cs="Arial"/>
          <w:color w:val="000000"/>
          <w:sz w:val="22"/>
          <w:szCs w:val="22"/>
        </w:rPr>
        <w:t>It is important that everyone in Inverclyde who works with children and young people should be able to distinguish between sexual behaviour that us developmentally typical and sexual behaviours that are problematic or harmful. This will help us to respond appropriately and provide children and young people with the right protection and support, at the right time.</w:t>
      </w:r>
    </w:p>
    <w:p w14:paraId="00C0C1D8" w14:textId="77777777" w:rsidR="005F08F0" w:rsidRPr="005F08F0" w:rsidRDefault="005F08F0" w:rsidP="009312AB">
      <w:pPr>
        <w:pStyle w:val="NormalWeb"/>
        <w:shd w:val="clear" w:color="auto" w:fill="FFFFFF"/>
        <w:spacing w:before="0" w:beforeAutospacing="0" w:after="300" w:afterAutospacing="0" w:line="360" w:lineRule="atLeast"/>
        <w:jc w:val="center"/>
        <w:rPr>
          <w:rFonts w:ascii="Comic Sans MS" w:hAnsi="Comic Sans MS" w:cs="Arial"/>
          <w:color w:val="000000"/>
          <w:sz w:val="22"/>
          <w:szCs w:val="22"/>
        </w:rPr>
      </w:pPr>
      <w:r w:rsidRPr="005F08F0">
        <w:rPr>
          <w:rFonts w:ascii="Comic Sans MS" w:hAnsi="Comic Sans MS" w:cs="Arial"/>
          <w:color w:val="000000"/>
          <w:sz w:val="22"/>
          <w:szCs w:val="22"/>
        </w:rPr>
        <w:t>If a child is displaying problematic or harmful sexual behaviour it can be difficult to know how to respond so that you are balancing the needs of everyone involved. We know that this can be particularly difficult within educational establishments.</w:t>
      </w:r>
    </w:p>
    <w:p w14:paraId="7DD9250D" w14:textId="77777777" w:rsidR="005F08F0" w:rsidRPr="005F08F0" w:rsidRDefault="005F08F0" w:rsidP="005F08F0">
      <w:pPr>
        <w:spacing w:line="360" w:lineRule="auto"/>
        <w:jc w:val="center"/>
        <w:rPr>
          <w:rFonts w:ascii="Comic Sans MS" w:hAnsi="Comic Sans MS" w:cs="Arial"/>
          <w:color w:val="000000"/>
        </w:rPr>
      </w:pPr>
      <w:r w:rsidRPr="005F08F0">
        <w:rPr>
          <w:rFonts w:ascii="Comic Sans MS" w:hAnsi="Comic Sans MS" w:cs="Arial"/>
          <w:color w:val="000000"/>
        </w:rPr>
        <w:t>We need to act appropriately to support and protect any children who have displayed problematic or harmful sexual behaviours and those who have been impacted by the behaviour.</w:t>
      </w:r>
    </w:p>
    <w:p w14:paraId="614284DA" w14:textId="1B2490CA" w:rsidR="005F08F0" w:rsidRDefault="005F08F0" w:rsidP="00FC67E7">
      <w:pPr>
        <w:spacing w:line="360" w:lineRule="auto"/>
        <w:jc w:val="center"/>
        <w:rPr>
          <w:rFonts w:ascii="Comic Sans MS" w:hAnsi="Comic Sans MS" w:cs="Arial"/>
        </w:rPr>
      </w:pPr>
      <w:r w:rsidRPr="005F08F0">
        <w:rPr>
          <w:rFonts w:ascii="Comic Sans MS" w:hAnsi="Comic Sans MS" w:cs="Arial"/>
        </w:rPr>
        <w:t>This multi-agency guidance aims to set out an effective and consistent approach in the early identification, assessment and management of children and young people whose behaviour is considered to be sexually harmful or problematic. The guidance should be used to initially assess the risk and needs of the child/young person in order to clearly define what level of intervention may be necessary. In addition, it will inform the wider asses</w:t>
      </w:r>
      <w:r>
        <w:rPr>
          <w:rFonts w:ascii="Comic Sans MS" w:hAnsi="Comic Sans MS" w:cs="Arial"/>
        </w:rPr>
        <w:t>sment of risk in relation to</w:t>
      </w:r>
      <w:r w:rsidRPr="005F08F0">
        <w:rPr>
          <w:rFonts w:ascii="Comic Sans MS" w:hAnsi="Comic Sans MS" w:cs="Arial"/>
        </w:rPr>
        <w:t xml:space="preserve"> those children who have been harmed or are at risk of </w:t>
      </w:r>
      <w:r w:rsidRPr="005F08F0">
        <w:rPr>
          <w:rFonts w:ascii="Comic Sans MS" w:hAnsi="Comic Sans MS" w:cs="Arial"/>
        </w:rPr>
        <w:lastRenderedPageBreak/>
        <w:t xml:space="preserve">harm when consideration needs to be given to </w:t>
      </w:r>
      <w:r w:rsidR="00875AFD">
        <w:rPr>
          <w:rFonts w:ascii="Comic Sans MS" w:hAnsi="Comic Sans MS" w:cs="Arial"/>
        </w:rPr>
        <w:t>using</w:t>
      </w:r>
      <w:r w:rsidRPr="005F08F0">
        <w:rPr>
          <w:rFonts w:ascii="Comic Sans MS" w:hAnsi="Comic Sans MS" w:cs="Arial"/>
        </w:rPr>
        <w:t xml:space="preserve"> </w:t>
      </w:r>
      <w:r w:rsidR="00FC67E7">
        <w:rPr>
          <w:rFonts w:ascii="Comic Sans MS" w:hAnsi="Comic Sans MS" w:cs="Arial"/>
        </w:rPr>
        <w:t>Child Protection</w:t>
      </w:r>
      <w:r w:rsidRPr="005F08F0">
        <w:rPr>
          <w:rFonts w:ascii="Comic Sans MS" w:hAnsi="Comic Sans MS" w:cs="Arial"/>
        </w:rPr>
        <w:t xml:space="preserve"> / C</w:t>
      </w:r>
      <w:r w:rsidR="009312AB">
        <w:rPr>
          <w:rFonts w:ascii="Comic Sans MS" w:hAnsi="Comic Sans MS" w:cs="Arial"/>
        </w:rPr>
        <w:t xml:space="preserve">are </w:t>
      </w:r>
      <w:r w:rsidRPr="005F08F0">
        <w:rPr>
          <w:rFonts w:ascii="Comic Sans MS" w:hAnsi="Comic Sans MS" w:cs="Arial"/>
        </w:rPr>
        <w:t>A</w:t>
      </w:r>
      <w:r w:rsidR="009312AB">
        <w:rPr>
          <w:rFonts w:ascii="Comic Sans MS" w:hAnsi="Comic Sans MS" w:cs="Arial"/>
        </w:rPr>
        <w:t xml:space="preserve">nd </w:t>
      </w:r>
      <w:r w:rsidRPr="005F08F0">
        <w:rPr>
          <w:rFonts w:ascii="Comic Sans MS" w:hAnsi="Comic Sans MS" w:cs="Arial"/>
        </w:rPr>
        <w:t>R</w:t>
      </w:r>
      <w:r w:rsidR="009312AB">
        <w:rPr>
          <w:rFonts w:ascii="Comic Sans MS" w:hAnsi="Comic Sans MS" w:cs="Arial"/>
        </w:rPr>
        <w:t xml:space="preserve">isk </w:t>
      </w:r>
      <w:r w:rsidRPr="005F08F0">
        <w:rPr>
          <w:rFonts w:ascii="Comic Sans MS" w:hAnsi="Comic Sans MS" w:cs="Arial"/>
        </w:rPr>
        <w:t>M</w:t>
      </w:r>
      <w:r w:rsidR="009312AB">
        <w:rPr>
          <w:rFonts w:ascii="Comic Sans MS" w:hAnsi="Comic Sans MS" w:cs="Arial"/>
        </w:rPr>
        <w:t>anagement (CARM)</w:t>
      </w:r>
      <w:r w:rsidRPr="005F08F0">
        <w:rPr>
          <w:rFonts w:ascii="Comic Sans MS" w:hAnsi="Comic Sans MS" w:cs="Arial"/>
        </w:rPr>
        <w:t xml:space="preserve"> </w:t>
      </w:r>
      <w:r w:rsidR="00875AFD">
        <w:rPr>
          <w:rFonts w:ascii="Comic Sans MS" w:hAnsi="Comic Sans MS" w:cs="Arial"/>
        </w:rPr>
        <w:t>processes</w:t>
      </w:r>
      <w:r w:rsidRPr="005F08F0">
        <w:rPr>
          <w:rFonts w:ascii="Comic Sans MS" w:hAnsi="Comic Sans MS" w:cs="Arial"/>
        </w:rPr>
        <w:t xml:space="preserve"> to consider what action is necessary to protect them from future harm.</w:t>
      </w:r>
      <w:r w:rsidR="00CD6AC2">
        <w:rPr>
          <w:rFonts w:ascii="Comic Sans MS" w:hAnsi="Comic Sans MS" w:cs="Arial"/>
        </w:rPr>
        <w:t xml:space="preserve">  </w:t>
      </w:r>
    </w:p>
    <w:p w14:paraId="561B0471" w14:textId="77777777" w:rsidR="00FC67E7" w:rsidRPr="005F08F0" w:rsidRDefault="00FC67E7" w:rsidP="00EC6917">
      <w:pPr>
        <w:spacing w:line="360" w:lineRule="auto"/>
        <w:rPr>
          <w:rFonts w:ascii="Comic Sans MS" w:hAnsi="Comic Sans MS" w:cs="Arial"/>
        </w:rPr>
      </w:pPr>
    </w:p>
    <w:p w14:paraId="3333A6B9" w14:textId="495A97BA" w:rsidR="009312AB" w:rsidRDefault="005F08F0" w:rsidP="00EC6917">
      <w:pPr>
        <w:spacing w:line="360" w:lineRule="auto"/>
        <w:jc w:val="center"/>
        <w:rPr>
          <w:rFonts w:ascii="Comic Sans MS" w:hAnsi="Comic Sans MS" w:cs="Arial"/>
          <w:b/>
          <w:bCs/>
        </w:rPr>
      </w:pPr>
      <w:r w:rsidRPr="005F08F0">
        <w:rPr>
          <w:rFonts w:ascii="Comic Sans MS" w:hAnsi="Comic Sans MS" w:cs="Arial"/>
        </w:rPr>
        <w:t xml:space="preserve">The Guidance should be used for </w:t>
      </w:r>
      <w:r w:rsidR="00FC67E7">
        <w:rPr>
          <w:rFonts w:ascii="Comic Sans MS" w:hAnsi="Comic Sans MS" w:cs="Arial"/>
        </w:rPr>
        <w:t xml:space="preserve">all </w:t>
      </w:r>
      <w:r w:rsidRPr="005F08F0">
        <w:rPr>
          <w:rFonts w:ascii="Comic Sans MS" w:hAnsi="Comic Sans MS" w:cs="Arial"/>
        </w:rPr>
        <w:t xml:space="preserve">children and young people who are displaying </w:t>
      </w:r>
      <w:r w:rsidR="00EC6917">
        <w:rPr>
          <w:rFonts w:ascii="Comic Sans MS" w:hAnsi="Comic Sans MS" w:cs="Arial"/>
        </w:rPr>
        <w:t>harmful sexual</w:t>
      </w:r>
      <w:r w:rsidRPr="005F08F0">
        <w:rPr>
          <w:rFonts w:ascii="Comic Sans MS" w:hAnsi="Comic Sans MS" w:cs="Arial"/>
        </w:rPr>
        <w:t xml:space="preserve"> behaviours. The Guidance  should not only be used with those young people who have sexually offended and are held within youth justice / criminal justice systems but also those children and young people within child protection systems whose risk and needs require a multi-agency approach. It requires the key agencies involved to meet regularly on a case by case basis to manage, evaluate and monitor risk or potential risk. The Guidance provides a clear framework for understanding sexually harmful behaviour in the context of child and adolescent development. It is a “systems approach” which considers how all the parts of the system including the family, impact on the young person making risk more or less manageable. </w:t>
      </w:r>
      <w:r w:rsidR="00FC67E7" w:rsidRPr="00EC6917">
        <w:rPr>
          <w:rFonts w:ascii="Comic Sans MS" w:hAnsi="Comic Sans MS" w:cs="Arial"/>
          <w:b/>
          <w:bCs/>
        </w:rPr>
        <w:t xml:space="preserve">It is intended that this guidance will sit alongside existing Child Protection and Care and Risk Management Procedures. </w:t>
      </w:r>
    </w:p>
    <w:p w14:paraId="3657AF21" w14:textId="77777777" w:rsidR="00EC6917" w:rsidRPr="00EC6917" w:rsidRDefault="00EC6917" w:rsidP="00EC6917">
      <w:pPr>
        <w:spacing w:line="360" w:lineRule="auto"/>
        <w:jc w:val="center"/>
        <w:rPr>
          <w:rFonts w:ascii="Comic Sans MS" w:hAnsi="Comic Sans MS" w:cs="Arial"/>
          <w:b/>
          <w:bCs/>
        </w:rPr>
      </w:pPr>
    </w:p>
    <w:p w14:paraId="5F8FE29E" w14:textId="77777777" w:rsidR="005F08F0" w:rsidRPr="005F08F0" w:rsidRDefault="005F08F0" w:rsidP="005F08F0">
      <w:pPr>
        <w:spacing w:line="360" w:lineRule="auto"/>
        <w:jc w:val="center"/>
        <w:rPr>
          <w:rFonts w:ascii="Arial" w:hAnsi="Arial" w:cs="Arial"/>
          <w:b/>
          <w:color w:val="002060"/>
          <w:u w:val="single"/>
        </w:rPr>
      </w:pPr>
      <w:r w:rsidRPr="005F08F0">
        <w:rPr>
          <w:rFonts w:ascii="Arial" w:hAnsi="Arial" w:cs="Arial"/>
          <w:b/>
          <w:color w:val="002060"/>
          <w:u w:val="single"/>
        </w:rPr>
        <w:t>1.2 Principles and Approach</w:t>
      </w:r>
    </w:p>
    <w:p w14:paraId="2DF5B851" w14:textId="77777777" w:rsidR="005F08F0" w:rsidRPr="004566F7" w:rsidRDefault="005F08F0" w:rsidP="005F08F0">
      <w:pPr>
        <w:spacing w:line="360" w:lineRule="auto"/>
        <w:rPr>
          <w:rFonts w:ascii="Arial" w:hAnsi="Arial" w:cs="Arial"/>
        </w:rPr>
      </w:pPr>
    </w:p>
    <w:p w14:paraId="46ACCB00" w14:textId="4E6EB0ED" w:rsidR="005F08F0" w:rsidRDefault="005F08F0" w:rsidP="005F08F0">
      <w:pPr>
        <w:spacing w:line="360" w:lineRule="auto"/>
        <w:jc w:val="center"/>
        <w:rPr>
          <w:rFonts w:ascii="Comic Sans MS" w:hAnsi="Comic Sans MS" w:cs="Arial"/>
        </w:rPr>
      </w:pPr>
      <w:r w:rsidRPr="005F08F0">
        <w:rPr>
          <w:rFonts w:ascii="Comic Sans MS" w:hAnsi="Comic Sans MS" w:cs="Arial"/>
        </w:rPr>
        <w:t>Responses to children and young people who have displayed harmful or problematic sexual behaviour need to be embedded in a children’s rights perspective, even when their actions have caused harm to others.  The aim is of this guidance to ensure the child/young person’s safety and wellbeing and should facilitate opportunities for them to develop alongside ensuring the safety and wellbeing of those they come in to contact with.</w:t>
      </w:r>
    </w:p>
    <w:p w14:paraId="6DF49517" w14:textId="463EC05C" w:rsidR="005F08F0" w:rsidRDefault="005F08F0" w:rsidP="005F08F0">
      <w:pPr>
        <w:spacing w:line="360" w:lineRule="auto"/>
        <w:jc w:val="center"/>
        <w:rPr>
          <w:rFonts w:ascii="Comic Sans MS" w:hAnsi="Comic Sans MS" w:cs="Arial"/>
        </w:rPr>
      </w:pPr>
      <w:r w:rsidRPr="005F08F0">
        <w:rPr>
          <w:rFonts w:ascii="Comic Sans MS" w:hAnsi="Comic Sans MS" w:cs="Arial"/>
        </w:rPr>
        <w:t>This guidance recognises that sexual behaviours take place on a continuum (Hackett, 2010), ranging from behaviours that are considered to be normal, to behaviours that are considered to be sexually abusive or violent.</w:t>
      </w:r>
    </w:p>
    <w:p w14:paraId="52836919" w14:textId="1663C5CB" w:rsidR="00875AFD" w:rsidRPr="00F13911" w:rsidRDefault="00875AFD" w:rsidP="00F13911">
      <w:pPr>
        <w:spacing w:line="360" w:lineRule="auto"/>
        <w:rPr>
          <w:rFonts w:ascii="Comic Sans MS" w:hAnsi="Comic Sans MS" w:cs="Arial"/>
        </w:rPr>
      </w:pPr>
    </w:p>
    <w:p w14:paraId="0CA7AAD5" w14:textId="27B31F00" w:rsidR="00875AFD" w:rsidRDefault="00875AFD" w:rsidP="005F08F0">
      <w:pPr>
        <w:spacing w:line="360" w:lineRule="auto"/>
        <w:jc w:val="center"/>
        <w:rPr>
          <w:rFonts w:ascii="Comic Sans MS" w:hAnsi="Comic Sans MS"/>
        </w:rPr>
      </w:pPr>
      <w:r w:rsidRPr="00F13911">
        <w:rPr>
          <w:rFonts w:ascii="Comic Sans MS" w:hAnsi="Comic Sans MS"/>
        </w:rPr>
        <w:t xml:space="preserve">The following diagram comes from the work of Professor Simon Hackett </w:t>
      </w:r>
      <w:r w:rsidR="00F13911">
        <w:rPr>
          <w:rFonts w:ascii="Comic Sans MS" w:hAnsi="Comic Sans MS"/>
        </w:rPr>
        <w:t xml:space="preserve">(2014) </w:t>
      </w:r>
      <w:r w:rsidRPr="00F13911">
        <w:rPr>
          <w:rFonts w:ascii="Comic Sans MS" w:hAnsi="Comic Sans MS"/>
        </w:rPr>
        <w:t xml:space="preserve">and illustrates the continuum of sexual behaviour. </w:t>
      </w:r>
    </w:p>
    <w:p w14:paraId="5F13C692" w14:textId="1D2E41BC" w:rsidR="003C1D24" w:rsidRPr="00F13911" w:rsidRDefault="003C1D24" w:rsidP="005F08F0">
      <w:pPr>
        <w:spacing w:line="360" w:lineRule="auto"/>
        <w:jc w:val="center"/>
        <w:rPr>
          <w:rFonts w:ascii="Comic Sans MS" w:hAnsi="Comic Sans MS" w:cs="Arial"/>
        </w:rPr>
      </w:pPr>
      <w:r>
        <w:rPr>
          <w:noProof/>
          <w:lang w:eastAsia="en-GB"/>
        </w:rPr>
        <w:drawing>
          <wp:inline distT="0" distB="0" distL="0" distR="0" wp14:anchorId="129C8505" wp14:editId="1869A387">
            <wp:extent cx="5452289" cy="4006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6376" cy="4023857"/>
                    </a:xfrm>
                    <a:prstGeom prst="rect">
                      <a:avLst/>
                    </a:prstGeom>
                  </pic:spPr>
                </pic:pic>
              </a:graphicData>
            </a:graphic>
          </wp:inline>
        </w:drawing>
      </w:r>
    </w:p>
    <w:p w14:paraId="1E3A068B" w14:textId="77777777" w:rsidR="005F08F0" w:rsidRPr="004566F7" w:rsidRDefault="005F08F0" w:rsidP="005F08F0">
      <w:pPr>
        <w:spacing w:line="360" w:lineRule="auto"/>
        <w:rPr>
          <w:rFonts w:ascii="Arial" w:hAnsi="Arial" w:cs="Arial"/>
        </w:rPr>
      </w:pPr>
    </w:p>
    <w:p w14:paraId="3319D12C" w14:textId="4E910985" w:rsidR="005F08F0" w:rsidRDefault="005F08F0" w:rsidP="005F08F0">
      <w:pPr>
        <w:spacing w:line="360" w:lineRule="auto"/>
        <w:jc w:val="center"/>
        <w:rPr>
          <w:rFonts w:ascii="Comic Sans MS" w:hAnsi="Comic Sans MS" w:cs="Arial"/>
        </w:rPr>
      </w:pPr>
      <w:r w:rsidRPr="005F08F0">
        <w:rPr>
          <w:rFonts w:ascii="Comic Sans MS" w:hAnsi="Comic Sans MS" w:cs="Arial"/>
        </w:rPr>
        <w:t>Just as there is a continuum of behaviour, there needs to be a continuum of potential responses from services, acknowledging that children and young people with harmful sexual behaviours are a varied and complex group with diverse needs that cannot be addressed by a ‘one size fits all’ model of service provision (NSPCC, 2019).</w:t>
      </w:r>
    </w:p>
    <w:p w14:paraId="0404C53C" w14:textId="59EB1A9A" w:rsidR="00F13911" w:rsidRPr="00F13911" w:rsidRDefault="00F13911" w:rsidP="00F13911">
      <w:pPr>
        <w:spacing w:line="360" w:lineRule="auto"/>
        <w:jc w:val="center"/>
        <w:rPr>
          <w:rFonts w:ascii="Comic Sans MS" w:hAnsi="Comic Sans MS" w:cs="Arial"/>
        </w:rPr>
      </w:pPr>
      <w:r w:rsidRPr="00F13911">
        <w:rPr>
          <w:rFonts w:ascii="Comic Sans MS" w:hAnsi="Comic Sans MS"/>
        </w:rPr>
        <w:t>Distinguishing between appropriate non-abusive behaviour and inappropriate or abusive behaviour can be a complex task that requires practitioners to understand what is healthy and informed consent and what is abusive or coercive . There is a range of common and healthy behaviours at different developmental stages (Scottish Government, 2021) . The Brook Sexual Behaviours Traffic Light Tool offers guidance for age-appropriate behaviour. A link to this tool can be found at the end of this guidance.</w:t>
      </w:r>
    </w:p>
    <w:p w14:paraId="007A5430" w14:textId="7F86EA0C" w:rsidR="005F08F0" w:rsidRDefault="005F08F0" w:rsidP="00F13911">
      <w:pPr>
        <w:spacing w:line="360" w:lineRule="auto"/>
        <w:rPr>
          <w:rFonts w:ascii="Comic Sans MS" w:hAnsi="Comic Sans MS" w:cs="Arial"/>
        </w:rPr>
      </w:pPr>
      <w:r w:rsidRPr="005F08F0">
        <w:rPr>
          <w:rFonts w:ascii="Comic Sans MS" w:hAnsi="Comic Sans MS" w:cs="Arial"/>
        </w:rPr>
        <w:lastRenderedPageBreak/>
        <w:t xml:space="preserve">Preventing children and young people who have displayed harmful sexual behaviour from abusing further victims is the primary aim of Child Protection and Care and Risk Management Procedures. However, </w:t>
      </w:r>
      <w:r w:rsidR="00F13911">
        <w:rPr>
          <w:rFonts w:ascii="Comic Sans MS" w:hAnsi="Comic Sans MS" w:cs="Arial"/>
        </w:rPr>
        <w:t>every</w:t>
      </w:r>
      <w:r w:rsidR="00F13911" w:rsidRPr="00687E1C">
        <w:rPr>
          <w:rFonts w:ascii="Comic Sans MS" w:hAnsi="Comic Sans MS"/>
        </w:rPr>
        <w:t xml:space="preserve"> child’s plan should be holistic and tailored to need and context. Risk assessment</w:t>
      </w:r>
      <w:r w:rsidR="00F13911">
        <w:rPr>
          <w:rFonts w:ascii="Comic Sans MS" w:hAnsi="Comic Sans MS"/>
        </w:rPr>
        <w:t xml:space="preserve">, risk </w:t>
      </w:r>
      <w:r w:rsidR="00F13911" w:rsidRPr="00687E1C">
        <w:rPr>
          <w:rFonts w:ascii="Comic Sans MS" w:hAnsi="Comic Sans MS"/>
        </w:rPr>
        <w:t xml:space="preserve">management measures and interventions might be necessary when a child / young person  has engaged in harmful sexual behaviours but should be balanced with nurture and encouragement (Scottish Government, 2021) </w:t>
      </w:r>
    </w:p>
    <w:p w14:paraId="75CDDBE5" w14:textId="77777777" w:rsidR="00F13911" w:rsidRPr="00F13911" w:rsidRDefault="00F13911" w:rsidP="00F13911">
      <w:pPr>
        <w:spacing w:line="360" w:lineRule="auto"/>
        <w:rPr>
          <w:rFonts w:ascii="Comic Sans MS" w:hAnsi="Comic Sans MS" w:cs="Arial"/>
        </w:rPr>
      </w:pPr>
    </w:p>
    <w:p w14:paraId="6FFC68B0" w14:textId="77777777" w:rsidR="005F08F0" w:rsidRPr="005F08F0" w:rsidRDefault="005F08F0" w:rsidP="005F08F0">
      <w:pPr>
        <w:spacing w:line="360" w:lineRule="auto"/>
        <w:jc w:val="center"/>
        <w:rPr>
          <w:rFonts w:ascii="Comic Sans MS" w:hAnsi="Comic Sans MS" w:cs="Arial"/>
          <w:b/>
          <w:color w:val="002060"/>
          <w:u w:val="single"/>
        </w:rPr>
      </w:pPr>
      <w:r w:rsidRPr="005F08F0">
        <w:rPr>
          <w:rFonts w:ascii="Comic Sans MS" w:hAnsi="Comic Sans MS" w:cs="Arial"/>
          <w:b/>
          <w:color w:val="002060"/>
          <w:u w:val="single"/>
        </w:rPr>
        <w:t>The principles applied to effective risk management are as follows –</w:t>
      </w:r>
    </w:p>
    <w:p w14:paraId="41490B12" w14:textId="77777777" w:rsidR="005F08F0" w:rsidRDefault="005F08F0" w:rsidP="009312AB">
      <w:pPr>
        <w:spacing w:line="360" w:lineRule="auto"/>
        <w:jc w:val="center"/>
        <w:rPr>
          <w:rFonts w:ascii="Comic Sans MS" w:hAnsi="Comic Sans MS" w:cs="Arial"/>
        </w:rPr>
      </w:pPr>
      <w:r w:rsidRPr="005F08F0">
        <w:rPr>
          <w:rFonts w:ascii="Comic Sans MS" w:hAnsi="Comic Sans MS" w:cs="Arial"/>
        </w:rPr>
        <w:t>• Initial risk assessment should inform risk management planning. This ensures the child’s plan is tailored to the needs of the individual and is proportionate to the level of risk</w:t>
      </w:r>
      <w:r w:rsidR="009312AB">
        <w:rPr>
          <w:rFonts w:ascii="Comic Sans MS" w:hAnsi="Comic Sans MS" w:cs="Arial"/>
        </w:rPr>
        <w:t>.</w:t>
      </w:r>
    </w:p>
    <w:p w14:paraId="2A3A7C8B" w14:textId="77777777" w:rsidR="009312AB" w:rsidRPr="005F08F0" w:rsidRDefault="009312AB" w:rsidP="009312AB">
      <w:pPr>
        <w:spacing w:line="360" w:lineRule="auto"/>
        <w:jc w:val="center"/>
        <w:rPr>
          <w:rFonts w:ascii="Comic Sans MS" w:hAnsi="Comic Sans MS" w:cs="Arial"/>
        </w:rPr>
      </w:pPr>
    </w:p>
    <w:p w14:paraId="20C8B385" w14:textId="77777777" w:rsidR="005F08F0" w:rsidRDefault="005F08F0" w:rsidP="005F08F0">
      <w:pPr>
        <w:spacing w:line="360" w:lineRule="auto"/>
        <w:jc w:val="center"/>
        <w:rPr>
          <w:rFonts w:ascii="Comic Sans MS" w:hAnsi="Comic Sans MS" w:cs="Arial"/>
        </w:rPr>
      </w:pPr>
      <w:r w:rsidRPr="005F08F0">
        <w:rPr>
          <w:rFonts w:ascii="Comic Sans MS" w:hAnsi="Comic Sans MS" w:cs="Arial"/>
        </w:rPr>
        <w:t>• It is important that any risk assessment and intervention is reviewed and adapted following significant changes in the child/young person’s circumstances in order that appropriate risk management strategies can be applied</w:t>
      </w:r>
      <w:r>
        <w:rPr>
          <w:rFonts w:ascii="Comic Sans MS" w:hAnsi="Comic Sans MS" w:cs="Arial"/>
        </w:rPr>
        <w:t>.</w:t>
      </w:r>
    </w:p>
    <w:p w14:paraId="4E9BB2AF" w14:textId="77777777" w:rsidR="005F08F0" w:rsidRPr="005F08F0" w:rsidRDefault="005F08F0" w:rsidP="005F08F0">
      <w:pPr>
        <w:spacing w:line="360" w:lineRule="auto"/>
        <w:jc w:val="center"/>
        <w:rPr>
          <w:rFonts w:ascii="Comic Sans MS" w:hAnsi="Comic Sans MS" w:cs="Arial"/>
        </w:rPr>
      </w:pPr>
    </w:p>
    <w:p w14:paraId="4622B459" w14:textId="77777777" w:rsidR="005F08F0" w:rsidRDefault="005F08F0" w:rsidP="005F08F0">
      <w:pPr>
        <w:spacing w:line="360" w:lineRule="auto"/>
        <w:jc w:val="center"/>
        <w:rPr>
          <w:rFonts w:ascii="Comic Sans MS" w:hAnsi="Comic Sans MS" w:cs="Arial"/>
        </w:rPr>
      </w:pPr>
      <w:r w:rsidRPr="005F08F0">
        <w:rPr>
          <w:rFonts w:ascii="Comic Sans MS" w:hAnsi="Comic Sans MS" w:cs="Arial"/>
        </w:rPr>
        <w:t>• The adults in the systems as far as possible need to be equipped and able to take that responsibility for managing the child/young person’s risk until such times as child/young person can evidence new skills and insights through a programme of work</w:t>
      </w:r>
      <w:r>
        <w:rPr>
          <w:rFonts w:ascii="Comic Sans MS" w:hAnsi="Comic Sans MS" w:cs="Arial"/>
        </w:rPr>
        <w:t>.</w:t>
      </w:r>
    </w:p>
    <w:p w14:paraId="3C6D8CD4" w14:textId="77777777" w:rsidR="005F08F0" w:rsidRPr="005F08F0" w:rsidRDefault="005F08F0" w:rsidP="005F08F0">
      <w:pPr>
        <w:spacing w:line="360" w:lineRule="auto"/>
        <w:jc w:val="center"/>
        <w:rPr>
          <w:rFonts w:ascii="Comic Sans MS" w:hAnsi="Comic Sans MS" w:cs="Arial"/>
        </w:rPr>
      </w:pPr>
    </w:p>
    <w:p w14:paraId="51C07A54" w14:textId="77777777" w:rsidR="005F08F0" w:rsidRPr="005F08F0" w:rsidRDefault="005F08F0" w:rsidP="005F08F0">
      <w:pPr>
        <w:spacing w:line="360" w:lineRule="auto"/>
        <w:jc w:val="center"/>
        <w:rPr>
          <w:rFonts w:ascii="Comic Sans MS" w:hAnsi="Comic Sans MS" w:cs="Arial"/>
        </w:rPr>
      </w:pPr>
      <w:r w:rsidRPr="005F08F0">
        <w:rPr>
          <w:rFonts w:ascii="Comic Sans MS" w:hAnsi="Comic Sans MS" w:cs="Arial"/>
        </w:rPr>
        <w:t>• This approach requires those adults around the child/young person having a shared understanding of the needs and potential risks presented by the child/young person with an agreed plan of intervention</w:t>
      </w:r>
      <w:r>
        <w:rPr>
          <w:rFonts w:ascii="Comic Sans MS" w:hAnsi="Comic Sans MS" w:cs="Arial"/>
        </w:rPr>
        <w:t>.</w:t>
      </w:r>
    </w:p>
    <w:p w14:paraId="6021D622" w14:textId="77777777" w:rsidR="005F08F0" w:rsidRDefault="005F08F0" w:rsidP="005F08F0">
      <w:pPr>
        <w:spacing w:line="360" w:lineRule="auto"/>
        <w:jc w:val="center"/>
        <w:rPr>
          <w:rFonts w:ascii="Comic Sans MS" w:hAnsi="Comic Sans MS" w:cs="Arial"/>
        </w:rPr>
      </w:pPr>
    </w:p>
    <w:p w14:paraId="0D20CC98" w14:textId="77777777" w:rsidR="005F08F0" w:rsidRDefault="005F08F0" w:rsidP="005F08F0">
      <w:pPr>
        <w:spacing w:line="360" w:lineRule="auto"/>
        <w:jc w:val="center"/>
        <w:rPr>
          <w:rFonts w:ascii="Comic Sans MS" w:hAnsi="Comic Sans MS" w:cs="Arial"/>
        </w:rPr>
      </w:pPr>
    </w:p>
    <w:p w14:paraId="11DFB467" w14:textId="3FDF0D20" w:rsidR="00907627" w:rsidRPr="00BF4DA4" w:rsidRDefault="00583317" w:rsidP="00BF4DA4">
      <w:pPr>
        <w:spacing w:line="360" w:lineRule="auto"/>
        <w:jc w:val="center"/>
        <w:rPr>
          <w:rFonts w:ascii="Comic Sans MS" w:hAnsi="Comic Sans MS" w:cs="Arial"/>
        </w:rPr>
      </w:pPr>
      <w:r w:rsidRPr="00005B06">
        <w:rPr>
          <w:rFonts w:cstheme="minorHAnsi"/>
          <w:b/>
          <w:bCs/>
          <w:noProof/>
          <w:color w:val="000000"/>
          <w:sz w:val="28"/>
          <w:szCs w:val="28"/>
          <w:lang w:eastAsia="en-GB"/>
        </w:rPr>
        <w:lastRenderedPageBreak/>
        <w:drawing>
          <wp:inline distT="0" distB="0" distL="0" distR="0" wp14:anchorId="54C415CE" wp14:editId="01857388">
            <wp:extent cx="3346450" cy="2368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450" cy="2368550"/>
                    </a:xfrm>
                    <a:prstGeom prst="rect">
                      <a:avLst/>
                    </a:prstGeom>
                    <a:noFill/>
                    <a:ln>
                      <a:noFill/>
                    </a:ln>
                  </pic:spPr>
                </pic:pic>
              </a:graphicData>
            </a:graphic>
          </wp:inline>
        </w:drawing>
      </w:r>
    </w:p>
    <w:p w14:paraId="203D96DF" w14:textId="77777777" w:rsidR="00907627" w:rsidRDefault="00907627" w:rsidP="00F13911">
      <w:pPr>
        <w:spacing w:line="360" w:lineRule="auto"/>
        <w:rPr>
          <w:rFonts w:ascii="Comic Sans MS" w:hAnsi="Comic Sans MS" w:cs="Arial"/>
          <w:b/>
          <w:color w:val="002060"/>
          <w:u w:val="single"/>
        </w:rPr>
      </w:pPr>
    </w:p>
    <w:p w14:paraId="7260D4E8" w14:textId="5CC85C79" w:rsidR="005F08F0" w:rsidRPr="00583317" w:rsidRDefault="005F08F0" w:rsidP="005F08F0">
      <w:pPr>
        <w:spacing w:line="360" w:lineRule="auto"/>
        <w:jc w:val="center"/>
        <w:rPr>
          <w:rFonts w:ascii="Comic Sans MS" w:hAnsi="Comic Sans MS" w:cs="Arial"/>
          <w:b/>
          <w:color w:val="002060"/>
          <w:u w:val="single"/>
        </w:rPr>
      </w:pPr>
      <w:r w:rsidRPr="00583317">
        <w:rPr>
          <w:rFonts w:ascii="Comic Sans MS" w:hAnsi="Comic Sans MS" w:cs="Arial"/>
          <w:b/>
          <w:color w:val="002060"/>
          <w:u w:val="single"/>
        </w:rPr>
        <w:t>2. The Guidance</w:t>
      </w:r>
    </w:p>
    <w:p w14:paraId="07D4B169" w14:textId="77777777" w:rsidR="005F08F0" w:rsidRPr="00583317" w:rsidRDefault="005F08F0" w:rsidP="005F08F0">
      <w:pPr>
        <w:spacing w:line="360" w:lineRule="auto"/>
        <w:jc w:val="center"/>
        <w:rPr>
          <w:rFonts w:ascii="Comic Sans MS" w:hAnsi="Comic Sans MS" w:cs="Arial"/>
          <w:b/>
        </w:rPr>
      </w:pPr>
      <w:r w:rsidRPr="00583317">
        <w:rPr>
          <w:rFonts w:ascii="Comic Sans MS" w:hAnsi="Comic Sans MS" w:cs="Arial"/>
          <w:b/>
        </w:rPr>
        <w:t>Where a child / young person’s behaviour raises concern, the following steps should be taken:</w:t>
      </w:r>
    </w:p>
    <w:tbl>
      <w:tblPr>
        <w:tblStyle w:val="TableGrid"/>
        <w:tblW w:w="0" w:type="auto"/>
        <w:tblLook w:val="04A0" w:firstRow="1" w:lastRow="0" w:firstColumn="1" w:lastColumn="0" w:noHBand="0" w:noVBand="1"/>
      </w:tblPr>
      <w:tblGrid>
        <w:gridCol w:w="9016"/>
      </w:tblGrid>
      <w:tr w:rsidR="00583317" w14:paraId="0C74F7FD" w14:textId="77777777" w:rsidTr="00583317">
        <w:tc>
          <w:tcPr>
            <w:tcW w:w="9016" w:type="dxa"/>
          </w:tcPr>
          <w:p w14:paraId="05A6B6A1" w14:textId="77777777" w:rsidR="00583317" w:rsidRPr="00583317" w:rsidRDefault="00583317" w:rsidP="00583317">
            <w:pPr>
              <w:spacing w:line="360" w:lineRule="auto"/>
              <w:rPr>
                <w:rFonts w:ascii="Comic Sans MS" w:hAnsi="Comic Sans MS" w:cs="Arial"/>
                <w:color w:val="002060"/>
              </w:rPr>
            </w:pPr>
          </w:p>
          <w:p w14:paraId="67B8FBC7" w14:textId="77777777" w:rsidR="00583317" w:rsidRPr="00583317" w:rsidRDefault="00583317" w:rsidP="00583317">
            <w:pPr>
              <w:pStyle w:val="ListParagraph"/>
              <w:numPr>
                <w:ilvl w:val="0"/>
                <w:numId w:val="1"/>
              </w:numPr>
              <w:spacing w:line="360" w:lineRule="auto"/>
              <w:rPr>
                <w:rFonts w:ascii="Comic Sans MS" w:hAnsi="Comic Sans MS" w:cs="Arial"/>
                <w:color w:val="002060"/>
              </w:rPr>
            </w:pPr>
            <w:r w:rsidRPr="00583317">
              <w:rPr>
                <w:rFonts w:ascii="Comic Sans MS" w:hAnsi="Comic Sans MS" w:cs="Arial"/>
                <w:color w:val="002060"/>
              </w:rPr>
              <w:t xml:space="preserve"> If the child is not open to Social Work Services, a referral should be made to the Children and Families Request for Assistance team.</w:t>
            </w:r>
          </w:p>
          <w:p w14:paraId="3E9FF176" w14:textId="77777777" w:rsidR="00583317" w:rsidRPr="00583317" w:rsidRDefault="00583317" w:rsidP="00583317">
            <w:pPr>
              <w:pStyle w:val="ListParagraph"/>
              <w:numPr>
                <w:ilvl w:val="0"/>
                <w:numId w:val="1"/>
              </w:numPr>
              <w:spacing w:line="360" w:lineRule="auto"/>
              <w:jc w:val="center"/>
              <w:rPr>
                <w:rFonts w:ascii="Comic Sans MS" w:hAnsi="Comic Sans MS" w:cs="Arial"/>
                <w:color w:val="002060"/>
              </w:rPr>
            </w:pPr>
            <w:r w:rsidRPr="00583317">
              <w:rPr>
                <w:rFonts w:ascii="Comic Sans MS" w:hAnsi="Comic Sans MS" w:cs="Arial"/>
                <w:color w:val="002060"/>
              </w:rPr>
              <w:t>If a child is open to Social Work Services, information should be shared with the allocated Senior Social Worker.</w:t>
            </w:r>
          </w:p>
          <w:p w14:paraId="18FF127D" w14:textId="77777777" w:rsidR="00583317" w:rsidRPr="00583317" w:rsidRDefault="00583317" w:rsidP="00583317">
            <w:pPr>
              <w:pStyle w:val="ListParagraph"/>
              <w:numPr>
                <w:ilvl w:val="0"/>
                <w:numId w:val="1"/>
              </w:numPr>
              <w:spacing w:line="360" w:lineRule="auto"/>
              <w:jc w:val="center"/>
              <w:rPr>
                <w:rFonts w:ascii="Comic Sans MS" w:hAnsi="Comic Sans MS" w:cs="Arial"/>
                <w:color w:val="002060"/>
              </w:rPr>
            </w:pPr>
            <w:r w:rsidRPr="00583317">
              <w:rPr>
                <w:rFonts w:ascii="Comic Sans MS" w:hAnsi="Comic Sans MS" w:cs="Arial"/>
                <w:color w:val="002060"/>
              </w:rPr>
              <w:t>Inform your Education Officer responsible for your School / Establishment.</w:t>
            </w:r>
          </w:p>
        </w:tc>
      </w:tr>
    </w:tbl>
    <w:p w14:paraId="7E5A6FAF" w14:textId="77777777" w:rsidR="00583317" w:rsidRPr="00583317" w:rsidRDefault="00583317" w:rsidP="00583317">
      <w:pPr>
        <w:spacing w:line="360" w:lineRule="auto"/>
        <w:rPr>
          <w:rFonts w:ascii="Comic Sans MS" w:hAnsi="Comic Sans MS" w:cs="Arial"/>
          <w:b/>
        </w:rPr>
      </w:pPr>
    </w:p>
    <w:p w14:paraId="6E7B976A" w14:textId="77777777" w:rsidR="005F08F0" w:rsidRPr="00583317" w:rsidRDefault="005F08F0" w:rsidP="005F08F0">
      <w:pPr>
        <w:spacing w:line="360" w:lineRule="auto"/>
        <w:jc w:val="center"/>
        <w:rPr>
          <w:rFonts w:ascii="Comic Sans MS" w:hAnsi="Comic Sans MS" w:cs="Arial"/>
          <w:b/>
        </w:rPr>
      </w:pPr>
      <w:r w:rsidRPr="00583317">
        <w:rPr>
          <w:rFonts w:ascii="Comic Sans MS" w:hAnsi="Comic Sans MS" w:cs="Arial"/>
          <w:b/>
        </w:rPr>
        <w:t>The S</w:t>
      </w:r>
      <w:r w:rsidR="006F3A42">
        <w:rPr>
          <w:rFonts w:ascii="Comic Sans MS" w:hAnsi="Comic Sans MS" w:cs="Arial"/>
          <w:b/>
        </w:rPr>
        <w:t xml:space="preserve">enior </w:t>
      </w:r>
      <w:r w:rsidRPr="00583317">
        <w:rPr>
          <w:rFonts w:ascii="Comic Sans MS" w:hAnsi="Comic Sans MS" w:cs="Arial"/>
          <w:b/>
        </w:rPr>
        <w:t>S</w:t>
      </w:r>
      <w:r w:rsidR="006F3A42">
        <w:rPr>
          <w:rFonts w:ascii="Comic Sans MS" w:hAnsi="Comic Sans MS" w:cs="Arial"/>
          <w:b/>
        </w:rPr>
        <w:t xml:space="preserve">ocial </w:t>
      </w:r>
      <w:r w:rsidRPr="00583317">
        <w:rPr>
          <w:rFonts w:ascii="Comic Sans MS" w:hAnsi="Comic Sans MS" w:cs="Arial"/>
          <w:b/>
        </w:rPr>
        <w:t>W</w:t>
      </w:r>
      <w:r w:rsidR="006F3A42">
        <w:rPr>
          <w:rFonts w:ascii="Comic Sans MS" w:hAnsi="Comic Sans MS" w:cs="Arial"/>
          <w:b/>
        </w:rPr>
        <w:t>orker (SSW)</w:t>
      </w:r>
      <w:r w:rsidRPr="00583317">
        <w:rPr>
          <w:rFonts w:ascii="Comic Sans MS" w:hAnsi="Comic Sans MS" w:cs="Arial"/>
          <w:b/>
        </w:rPr>
        <w:t xml:space="preserve"> will require to consider –</w:t>
      </w:r>
    </w:p>
    <w:tbl>
      <w:tblPr>
        <w:tblStyle w:val="TableGrid"/>
        <w:tblW w:w="0" w:type="auto"/>
        <w:tblLook w:val="04A0" w:firstRow="1" w:lastRow="0" w:firstColumn="1" w:lastColumn="0" w:noHBand="0" w:noVBand="1"/>
      </w:tblPr>
      <w:tblGrid>
        <w:gridCol w:w="9016"/>
      </w:tblGrid>
      <w:tr w:rsidR="00583317" w14:paraId="7C6119F1" w14:textId="77777777" w:rsidTr="00583317">
        <w:tc>
          <w:tcPr>
            <w:tcW w:w="9016" w:type="dxa"/>
          </w:tcPr>
          <w:p w14:paraId="166CADAE"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The seriousness of the behaviours</w:t>
            </w:r>
            <w:r>
              <w:rPr>
                <w:rFonts w:ascii="Comic Sans MS" w:hAnsi="Comic Sans MS" w:cs="Arial"/>
                <w:color w:val="002060"/>
              </w:rPr>
              <w:t>.</w:t>
            </w:r>
          </w:p>
          <w:p w14:paraId="624F9C8A"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The immediate risk to others</w:t>
            </w:r>
            <w:r>
              <w:rPr>
                <w:rFonts w:ascii="Comic Sans MS" w:hAnsi="Comic Sans MS" w:cs="Arial"/>
                <w:color w:val="002060"/>
              </w:rPr>
              <w:t>.</w:t>
            </w:r>
          </w:p>
          <w:p w14:paraId="23353A0B"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The vulnerability of the child/young person</w:t>
            </w:r>
            <w:r>
              <w:rPr>
                <w:rFonts w:ascii="Comic Sans MS" w:hAnsi="Comic Sans MS" w:cs="Arial"/>
                <w:color w:val="002060"/>
              </w:rPr>
              <w:t>.</w:t>
            </w:r>
          </w:p>
          <w:p w14:paraId="4C007EA7"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All available information from partner agencies</w:t>
            </w:r>
            <w:r>
              <w:rPr>
                <w:rFonts w:ascii="Comic Sans MS" w:hAnsi="Comic Sans MS" w:cs="Arial"/>
                <w:color w:val="002060"/>
              </w:rPr>
              <w:t>.</w:t>
            </w:r>
          </w:p>
          <w:p w14:paraId="4A07B185"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The source of concerns</w:t>
            </w:r>
            <w:r>
              <w:rPr>
                <w:rFonts w:ascii="Comic Sans MS" w:hAnsi="Comic Sans MS" w:cs="Arial"/>
                <w:color w:val="002060"/>
              </w:rPr>
              <w:t xml:space="preserve"> and t</w:t>
            </w:r>
            <w:r w:rsidRPr="00583317">
              <w:rPr>
                <w:rFonts w:ascii="Comic Sans MS" w:hAnsi="Comic Sans MS" w:cs="Arial"/>
                <w:color w:val="002060"/>
              </w:rPr>
              <w:t>he context in which the child/young person is living</w:t>
            </w:r>
            <w:r>
              <w:rPr>
                <w:rFonts w:ascii="Comic Sans MS" w:hAnsi="Comic Sans MS" w:cs="Arial"/>
                <w:color w:val="002060"/>
              </w:rPr>
              <w:t>.</w:t>
            </w:r>
          </w:p>
          <w:p w14:paraId="243227E4"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t>• Any predisposing factors in the family that would suggest that potential risk could not be managed within the family</w:t>
            </w:r>
            <w:r>
              <w:rPr>
                <w:rFonts w:ascii="Comic Sans MS" w:hAnsi="Comic Sans MS" w:cs="Arial"/>
                <w:color w:val="002060"/>
              </w:rPr>
              <w:t>.</w:t>
            </w:r>
          </w:p>
          <w:p w14:paraId="333110DF" w14:textId="77777777" w:rsidR="00583317" w:rsidRPr="00583317" w:rsidRDefault="00583317" w:rsidP="00583317">
            <w:pPr>
              <w:spacing w:line="360" w:lineRule="auto"/>
              <w:jc w:val="center"/>
              <w:rPr>
                <w:rFonts w:ascii="Comic Sans MS" w:hAnsi="Comic Sans MS" w:cs="Arial"/>
                <w:color w:val="002060"/>
              </w:rPr>
            </w:pPr>
            <w:r w:rsidRPr="00583317">
              <w:rPr>
                <w:rFonts w:ascii="Comic Sans MS" w:hAnsi="Comic Sans MS" w:cs="Arial"/>
                <w:color w:val="002060"/>
              </w:rPr>
              <w:lastRenderedPageBreak/>
              <w:t>• Whether a multi-agency Harmful Sexual Behaviour Planning Meeting should be convened to share all relevant information</w:t>
            </w:r>
            <w:r>
              <w:rPr>
                <w:rFonts w:ascii="Comic Sans MS" w:hAnsi="Comic Sans MS" w:cs="Arial"/>
                <w:color w:val="002060"/>
              </w:rPr>
              <w:t>.</w:t>
            </w:r>
          </w:p>
        </w:tc>
      </w:tr>
    </w:tbl>
    <w:p w14:paraId="7B0BE495" w14:textId="77777777" w:rsidR="00FC67E7" w:rsidRDefault="00FC67E7" w:rsidP="00583317">
      <w:pPr>
        <w:spacing w:line="360" w:lineRule="auto"/>
        <w:jc w:val="center"/>
        <w:rPr>
          <w:rFonts w:ascii="Comic Sans MS" w:hAnsi="Comic Sans MS" w:cs="Arial"/>
        </w:rPr>
      </w:pPr>
    </w:p>
    <w:p w14:paraId="1FDBCB95" w14:textId="1F71AC19" w:rsidR="00FC67E7" w:rsidRPr="00FC67E7" w:rsidRDefault="00EC6917" w:rsidP="00FC67E7">
      <w:pPr>
        <w:spacing w:line="360" w:lineRule="auto"/>
        <w:jc w:val="center"/>
        <w:rPr>
          <w:rFonts w:ascii="Comic Sans MS" w:hAnsi="Comic Sans MS"/>
        </w:rPr>
      </w:pPr>
      <w:r w:rsidRPr="00C31CAC">
        <w:rPr>
          <w:rFonts w:ascii="Comic Sans MS" w:hAnsi="Comic Sans MS"/>
        </w:rPr>
        <w:t xml:space="preserve">In all cases where a child or young person displays sexual behaviour that may cause significant harm, immediate consideration should be given as to whether action should be taken under child protection procedures, in order both to protect children harmed or at risk of harm by the behaviour and to address any child protection concerns that may at least in part explain why the child/young person has behaved in such a way. </w:t>
      </w:r>
      <w:r w:rsidR="005F08F0" w:rsidRPr="00C31CAC">
        <w:rPr>
          <w:rFonts w:ascii="Comic Sans MS" w:hAnsi="Comic Sans MS" w:cs="Arial"/>
        </w:rPr>
        <w:t>At this</w:t>
      </w:r>
      <w:r w:rsidR="005F08F0" w:rsidRPr="005F08F0">
        <w:rPr>
          <w:rFonts w:ascii="Comic Sans MS" w:hAnsi="Comic Sans MS" w:cs="Arial"/>
        </w:rPr>
        <w:t xml:space="preserve"> early stage the SSW may identify that the level of risk is such that the case </w:t>
      </w:r>
      <w:r w:rsidR="005F08F0" w:rsidRPr="00FC67E7">
        <w:rPr>
          <w:rFonts w:ascii="Comic Sans MS" w:hAnsi="Comic Sans MS" w:cs="Arial"/>
        </w:rPr>
        <w:t>should be managed under CP/CARM</w:t>
      </w:r>
      <w:r>
        <w:rPr>
          <w:rFonts w:ascii="Comic Sans MS" w:hAnsi="Comic Sans MS" w:cs="Arial"/>
        </w:rPr>
        <w:t xml:space="preserve">, </w:t>
      </w:r>
      <w:r w:rsidR="00FC67E7" w:rsidRPr="00FC67E7">
        <w:rPr>
          <w:rFonts w:ascii="Comic Sans MS" w:hAnsi="Comic Sans MS"/>
        </w:rPr>
        <w:t xml:space="preserve">an Inter-agency </w:t>
      </w:r>
      <w:r>
        <w:rPr>
          <w:rFonts w:ascii="Comic Sans MS" w:hAnsi="Comic Sans MS"/>
        </w:rPr>
        <w:t>R</w:t>
      </w:r>
      <w:r w:rsidR="00FC67E7" w:rsidRPr="00FC67E7">
        <w:rPr>
          <w:rFonts w:ascii="Comic Sans MS" w:hAnsi="Comic Sans MS"/>
        </w:rPr>
        <w:t xml:space="preserve">eferral </w:t>
      </w:r>
      <w:r>
        <w:rPr>
          <w:rFonts w:ascii="Comic Sans MS" w:hAnsi="Comic Sans MS"/>
        </w:rPr>
        <w:t>D</w:t>
      </w:r>
      <w:r w:rsidR="00FC67E7" w:rsidRPr="00FC67E7">
        <w:rPr>
          <w:rFonts w:ascii="Comic Sans MS" w:hAnsi="Comic Sans MS"/>
        </w:rPr>
        <w:t>iscussion (IRD) must be convened as soon as reasonably practicable. IRDs are required to ensure a co-ordinated inter-agency child protection process up until the point a Child Protection Planning Meeting (CPPM) is held, or until a decision is made that a CPPM is not required/that alternative action is required</w:t>
      </w:r>
      <w:r w:rsidR="00A7529B">
        <w:rPr>
          <w:rFonts w:ascii="Comic Sans MS" w:hAnsi="Comic Sans MS"/>
        </w:rPr>
        <w:t>. Further information in relation to this process can be found within Inverclyde Council’s Child Protection and CARM Procedures.</w:t>
      </w:r>
      <w:r w:rsidR="00F13911">
        <w:rPr>
          <w:rFonts w:ascii="Comic Sans MS" w:hAnsi="Comic Sans MS"/>
        </w:rPr>
        <w:t xml:space="preserve"> Links to these procedures/processes can be found at the end of this document.</w:t>
      </w:r>
    </w:p>
    <w:p w14:paraId="6AA05437" w14:textId="77777777" w:rsidR="00FC67E7" w:rsidRDefault="00FC67E7" w:rsidP="00FC67E7">
      <w:pPr>
        <w:spacing w:line="360" w:lineRule="auto"/>
        <w:jc w:val="center"/>
      </w:pPr>
    </w:p>
    <w:p w14:paraId="39616C22" w14:textId="6B074F07" w:rsidR="00907627" w:rsidRPr="005F08F0" w:rsidRDefault="00A7529B" w:rsidP="00BF4DA4">
      <w:pPr>
        <w:spacing w:line="360" w:lineRule="auto"/>
        <w:jc w:val="center"/>
        <w:rPr>
          <w:rFonts w:ascii="Comic Sans MS" w:hAnsi="Comic Sans MS" w:cs="Arial"/>
        </w:rPr>
      </w:pPr>
      <w:r>
        <w:rPr>
          <w:rFonts w:ascii="Comic Sans MS" w:hAnsi="Comic Sans MS" w:cs="Arial"/>
        </w:rPr>
        <w:t>In</w:t>
      </w:r>
      <w:r w:rsidR="005F08F0" w:rsidRPr="005F08F0">
        <w:rPr>
          <w:rFonts w:ascii="Comic Sans MS" w:hAnsi="Comic Sans MS" w:cs="Arial"/>
        </w:rPr>
        <w:t xml:space="preserve"> many instances it will be unclear what the level of risk is and what level of intervention may be necessary. In such situations,</w:t>
      </w:r>
      <w:r w:rsidR="00FC67E7">
        <w:rPr>
          <w:rFonts w:ascii="Comic Sans MS" w:hAnsi="Comic Sans MS" w:cs="Arial"/>
        </w:rPr>
        <w:t xml:space="preserve"> a</w:t>
      </w:r>
      <w:r w:rsidR="005F08F0" w:rsidRPr="005F08F0">
        <w:rPr>
          <w:rFonts w:ascii="Comic Sans MS" w:hAnsi="Comic Sans MS" w:cs="Arial"/>
        </w:rPr>
        <w:t xml:space="preserve"> multi-agency Harmful Sexual Behaviour Planning Meeting should be held to allow the sharing of information and for early discussions to take place in relation to risk and risk management.</w:t>
      </w:r>
      <w:r w:rsidR="00A75F10">
        <w:rPr>
          <w:rFonts w:ascii="Comic Sans MS" w:hAnsi="Comic Sans MS" w:cs="Arial"/>
        </w:rPr>
        <w:t xml:space="preserve">  Timing must be prompt to inform</w:t>
      </w:r>
      <w:r w:rsidR="00EF51A9">
        <w:rPr>
          <w:rFonts w:ascii="Comic Sans MS" w:hAnsi="Comic Sans MS" w:cs="Arial"/>
        </w:rPr>
        <w:t xml:space="preserve"> parents.</w:t>
      </w:r>
    </w:p>
    <w:p w14:paraId="45CCFEC1" w14:textId="77777777" w:rsidR="005F08F0" w:rsidRPr="00583317" w:rsidRDefault="005F08F0" w:rsidP="00583317">
      <w:pPr>
        <w:spacing w:line="360" w:lineRule="auto"/>
        <w:jc w:val="center"/>
        <w:rPr>
          <w:rFonts w:ascii="Comic Sans MS" w:hAnsi="Comic Sans MS" w:cs="Arial"/>
          <w:b/>
          <w:color w:val="002060"/>
          <w:u w:val="single"/>
        </w:rPr>
      </w:pPr>
      <w:r w:rsidRPr="00583317">
        <w:rPr>
          <w:rFonts w:ascii="Comic Sans MS" w:hAnsi="Comic Sans MS" w:cs="Arial"/>
          <w:b/>
          <w:color w:val="002060"/>
          <w:u w:val="single"/>
        </w:rPr>
        <w:t>2.1 The Harmful Sexual Behaviour Planning Meeting</w:t>
      </w:r>
    </w:p>
    <w:p w14:paraId="64560163" w14:textId="7026B60F" w:rsidR="005F08F0" w:rsidRPr="005F08F0" w:rsidRDefault="005F08F0" w:rsidP="005F08F0">
      <w:pPr>
        <w:spacing w:line="360" w:lineRule="auto"/>
        <w:jc w:val="center"/>
        <w:rPr>
          <w:rFonts w:ascii="Comic Sans MS" w:hAnsi="Comic Sans MS" w:cs="Arial"/>
        </w:rPr>
      </w:pPr>
      <w:r w:rsidRPr="005F08F0">
        <w:rPr>
          <w:rFonts w:ascii="Comic Sans MS" w:hAnsi="Comic Sans MS" w:cs="Arial"/>
        </w:rPr>
        <w:t>The purpose of the multi-agency Harmful Sexual Behaviour Planning Meeting is for the professional team around the child to meet and to share all available information. C</w:t>
      </w:r>
      <w:r w:rsidR="006F3A42">
        <w:rPr>
          <w:rFonts w:ascii="Comic Sans MS" w:hAnsi="Comic Sans MS" w:cs="Arial"/>
        </w:rPr>
        <w:t>hildren &amp; Families</w:t>
      </w:r>
      <w:r w:rsidRPr="005F08F0">
        <w:rPr>
          <w:rFonts w:ascii="Comic Sans MS" w:hAnsi="Comic Sans MS" w:cs="Arial"/>
        </w:rPr>
        <w:t xml:space="preserve"> Social Work Services have the lead professional responsibility for convening and chai</w:t>
      </w:r>
      <w:r w:rsidR="00583317">
        <w:rPr>
          <w:rFonts w:ascii="Comic Sans MS" w:hAnsi="Comic Sans MS" w:cs="Arial"/>
        </w:rPr>
        <w:t>ring this professionals meeting.</w:t>
      </w:r>
      <w:r w:rsidRPr="005F08F0">
        <w:rPr>
          <w:rFonts w:ascii="Comic Sans MS" w:hAnsi="Comic Sans MS" w:cs="Arial"/>
        </w:rPr>
        <w:t xml:space="preserve"> </w:t>
      </w:r>
      <w:r w:rsidR="00583317">
        <w:rPr>
          <w:rFonts w:ascii="Comic Sans MS" w:hAnsi="Comic Sans MS" w:cs="Arial"/>
        </w:rPr>
        <w:t xml:space="preserve"> H</w:t>
      </w:r>
      <w:r w:rsidRPr="005F08F0">
        <w:rPr>
          <w:rFonts w:ascii="Comic Sans MS" w:hAnsi="Comic Sans MS" w:cs="Arial"/>
        </w:rPr>
        <w:t xml:space="preserve">owever, </w:t>
      </w:r>
      <w:r w:rsidRPr="005F08F0">
        <w:rPr>
          <w:rFonts w:ascii="Comic Sans MS" w:hAnsi="Comic Sans MS" w:cs="Arial"/>
          <w:color w:val="333333"/>
          <w:shd w:val="clear" w:color="auto" w:fill="FFFFFF"/>
        </w:rPr>
        <w:t>the purpose of the meeting is to ensure relevant information is shared, to carry out a collective assessment of risk, and to agree a plan to minimise risk</w:t>
      </w:r>
      <w:r w:rsidRPr="005F08F0">
        <w:rPr>
          <w:rFonts w:ascii="Comic Sans MS" w:hAnsi="Comic Sans MS" w:cs="Arial"/>
        </w:rPr>
        <w:t xml:space="preserve">. </w:t>
      </w:r>
      <w:r w:rsidR="00EF51A9">
        <w:rPr>
          <w:rFonts w:ascii="Comic Sans MS" w:hAnsi="Comic Sans MS" w:cs="Arial"/>
        </w:rPr>
        <w:t xml:space="preserve"> Professionals</w:t>
      </w:r>
      <w:r w:rsidR="00A75F10">
        <w:rPr>
          <w:rFonts w:ascii="Comic Sans MS" w:hAnsi="Comic Sans MS" w:cs="Arial"/>
        </w:rPr>
        <w:t xml:space="preserve"> from all </w:t>
      </w:r>
      <w:r w:rsidR="00A75F10">
        <w:rPr>
          <w:rFonts w:ascii="Comic Sans MS" w:hAnsi="Comic Sans MS" w:cs="Arial"/>
        </w:rPr>
        <w:lastRenderedPageBreak/>
        <w:t>partners in Social Work, Health, Education and Police</w:t>
      </w:r>
      <w:r w:rsidR="00EF51A9">
        <w:rPr>
          <w:rFonts w:ascii="Comic Sans MS" w:hAnsi="Comic Sans MS" w:cs="Arial"/>
        </w:rPr>
        <w:t xml:space="preserve"> should bring with them any relevant reports. </w:t>
      </w:r>
      <w:r w:rsidRPr="005F08F0">
        <w:rPr>
          <w:rFonts w:ascii="Comic Sans MS" w:hAnsi="Comic Sans MS" w:cs="Arial"/>
        </w:rPr>
        <w:t>Within the meeting you should consider:</w:t>
      </w:r>
    </w:p>
    <w:tbl>
      <w:tblPr>
        <w:tblStyle w:val="TableGrid"/>
        <w:tblW w:w="0" w:type="auto"/>
        <w:tblLook w:val="04A0" w:firstRow="1" w:lastRow="0" w:firstColumn="1" w:lastColumn="0" w:noHBand="0" w:noVBand="1"/>
      </w:tblPr>
      <w:tblGrid>
        <w:gridCol w:w="9016"/>
      </w:tblGrid>
      <w:tr w:rsidR="009C031D" w14:paraId="59D9C00F" w14:textId="77777777" w:rsidTr="009C031D">
        <w:tc>
          <w:tcPr>
            <w:tcW w:w="9016" w:type="dxa"/>
          </w:tcPr>
          <w:p w14:paraId="5280138C"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An initial analysis of the sexually harmful behaviours / allegation</w:t>
            </w:r>
            <w:r>
              <w:rPr>
                <w:rFonts w:ascii="Comic Sans MS" w:hAnsi="Comic Sans MS" w:cs="Arial"/>
              </w:rPr>
              <w:t>.</w:t>
            </w:r>
          </w:p>
          <w:p w14:paraId="167AC0DF"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Possible routes into the behaviours (child’s history of relevant adversities)</w:t>
            </w:r>
            <w:r>
              <w:rPr>
                <w:rFonts w:ascii="Comic Sans MS" w:hAnsi="Comic Sans MS" w:cs="Arial"/>
              </w:rPr>
              <w:t>.</w:t>
            </w:r>
          </w:p>
          <w:p w14:paraId="7E45EAC6"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The child/young person’s needs</w:t>
            </w:r>
            <w:r>
              <w:rPr>
                <w:rFonts w:ascii="Comic Sans MS" w:hAnsi="Comic Sans MS" w:cs="Arial"/>
              </w:rPr>
              <w:t>.</w:t>
            </w:r>
          </w:p>
          <w:p w14:paraId="5B4C9DDF"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Child / young person’s response to the behaviour / allegation</w:t>
            </w:r>
            <w:r>
              <w:rPr>
                <w:rFonts w:ascii="Comic Sans MS" w:hAnsi="Comic Sans MS" w:cs="Arial"/>
              </w:rPr>
              <w:t>.</w:t>
            </w:r>
          </w:p>
          <w:p w14:paraId="25515C3D" w14:textId="77777777" w:rsidR="009C031D" w:rsidRPr="006F3A42" w:rsidRDefault="009C031D" w:rsidP="006F3A42">
            <w:pPr>
              <w:pStyle w:val="ListParagraph"/>
              <w:numPr>
                <w:ilvl w:val="0"/>
                <w:numId w:val="2"/>
              </w:numPr>
              <w:spacing w:line="360" w:lineRule="auto"/>
              <w:jc w:val="center"/>
              <w:rPr>
                <w:rFonts w:ascii="Comic Sans MS" w:hAnsi="Comic Sans MS" w:cs="Arial"/>
              </w:rPr>
            </w:pPr>
            <w:r w:rsidRPr="005F08F0">
              <w:rPr>
                <w:rFonts w:ascii="Comic Sans MS" w:hAnsi="Comic Sans MS" w:cs="Arial"/>
              </w:rPr>
              <w:t>Family response</w:t>
            </w:r>
            <w:r w:rsidR="006F3A42">
              <w:rPr>
                <w:rFonts w:ascii="Comic Sans MS" w:hAnsi="Comic Sans MS" w:cs="Arial"/>
              </w:rPr>
              <w:t xml:space="preserve"> and community response.</w:t>
            </w:r>
          </w:p>
          <w:p w14:paraId="3D4C5D09"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The immediate risk to others and short term risk management requirements</w:t>
            </w:r>
            <w:r>
              <w:rPr>
                <w:rFonts w:ascii="Comic Sans MS" w:hAnsi="Comic Sans MS" w:cs="Arial"/>
              </w:rPr>
              <w:t>.</w:t>
            </w:r>
          </w:p>
          <w:p w14:paraId="359A0A0C" w14:textId="2BC96484"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Referrals to ot</w:t>
            </w:r>
            <w:r w:rsidR="00EF51A9">
              <w:rPr>
                <w:rFonts w:ascii="Comic Sans MS" w:hAnsi="Comic Sans MS" w:cs="Arial"/>
              </w:rPr>
              <w:t>her agencies.</w:t>
            </w:r>
          </w:p>
          <w:p w14:paraId="718037C9"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The roles and responsibilities of those involved</w:t>
            </w:r>
            <w:r>
              <w:rPr>
                <w:rFonts w:ascii="Comic Sans MS" w:hAnsi="Comic Sans MS" w:cs="Arial"/>
              </w:rPr>
              <w:t>.</w:t>
            </w:r>
          </w:p>
          <w:p w14:paraId="5EE91A85" w14:textId="77777777" w:rsidR="009C031D" w:rsidRPr="005F08F0"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The need for third party disclosures</w:t>
            </w:r>
            <w:r>
              <w:rPr>
                <w:rFonts w:ascii="Comic Sans MS" w:hAnsi="Comic Sans MS" w:cs="Arial"/>
              </w:rPr>
              <w:t>.</w:t>
            </w:r>
          </w:p>
          <w:p w14:paraId="2FAB4DF0" w14:textId="77777777" w:rsidR="009C031D" w:rsidRPr="009C031D" w:rsidRDefault="009C031D" w:rsidP="009C031D">
            <w:pPr>
              <w:pStyle w:val="ListParagraph"/>
              <w:numPr>
                <w:ilvl w:val="0"/>
                <w:numId w:val="2"/>
              </w:numPr>
              <w:spacing w:line="360" w:lineRule="auto"/>
              <w:jc w:val="center"/>
              <w:rPr>
                <w:rFonts w:ascii="Comic Sans MS" w:hAnsi="Comic Sans MS" w:cs="Arial"/>
              </w:rPr>
            </w:pPr>
            <w:r w:rsidRPr="005F08F0">
              <w:rPr>
                <w:rFonts w:ascii="Comic Sans MS" w:hAnsi="Comic Sans MS" w:cs="Arial"/>
              </w:rPr>
              <w:t>Any immediate accommodation and education needs</w:t>
            </w:r>
            <w:r>
              <w:rPr>
                <w:rFonts w:ascii="Comic Sans MS" w:hAnsi="Comic Sans MS" w:cs="Arial"/>
              </w:rPr>
              <w:t>.</w:t>
            </w:r>
          </w:p>
        </w:tc>
      </w:tr>
    </w:tbl>
    <w:p w14:paraId="3F9F53E9" w14:textId="6821DC2A" w:rsidR="009C031D" w:rsidRPr="009C031D" w:rsidRDefault="009C031D" w:rsidP="00EF51A9">
      <w:pPr>
        <w:spacing w:line="360" w:lineRule="auto"/>
        <w:jc w:val="center"/>
        <w:rPr>
          <w:rFonts w:ascii="Comic Sans MS" w:hAnsi="Comic Sans MS" w:cs="Arial"/>
          <w:b/>
          <w:color w:val="002060"/>
        </w:rPr>
      </w:pPr>
      <w:r w:rsidRPr="009C031D">
        <w:rPr>
          <w:rFonts w:ascii="Comic Sans MS" w:hAnsi="Comic Sans MS" w:cs="Arial"/>
          <w:b/>
          <w:color w:val="002060"/>
        </w:rPr>
        <w:t>Information that should be gathered prior to the meeting is as follows:</w:t>
      </w:r>
    </w:p>
    <w:tbl>
      <w:tblPr>
        <w:tblStyle w:val="TableGrid"/>
        <w:tblW w:w="0" w:type="auto"/>
        <w:tblLook w:val="04A0" w:firstRow="1" w:lastRow="0" w:firstColumn="1" w:lastColumn="0" w:noHBand="0" w:noVBand="1"/>
      </w:tblPr>
      <w:tblGrid>
        <w:gridCol w:w="9016"/>
      </w:tblGrid>
      <w:tr w:rsidR="009C031D" w14:paraId="11811236" w14:textId="77777777" w:rsidTr="009C031D">
        <w:tc>
          <w:tcPr>
            <w:tcW w:w="9016" w:type="dxa"/>
          </w:tcPr>
          <w:p w14:paraId="5E62FAC4" w14:textId="77777777" w:rsidR="009C031D" w:rsidRPr="005F08F0" w:rsidRDefault="009C031D" w:rsidP="009C031D">
            <w:pPr>
              <w:pStyle w:val="ListParagraph"/>
              <w:numPr>
                <w:ilvl w:val="0"/>
                <w:numId w:val="3"/>
              </w:numPr>
              <w:spacing w:line="360" w:lineRule="auto"/>
              <w:jc w:val="center"/>
              <w:rPr>
                <w:rFonts w:ascii="Comic Sans MS" w:hAnsi="Comic Sans MS" w:cs="Arial"/>
              </w:rPr>
            </w:pPr>
            <w:r w:rsidRPr="005F08F0">
              <w:rPr>
                <w:rFonts w:ascii="Comic Sans MS" w:hAnsi="Comic Sans MS" w:cs="Arial"/>
              </w:rPr>
              <w:t>The nature of the sexually harmful behaviours / allegations and referrer concerns</w:t>
            </w:r>
            <w:r>
              <w:rPr>
                <w:rFonts w:ascii="Comic Sans MS" w:hAnsi="Comic Sans MS" w:cs="Arial"/>
              </w:rPr>
              <w:t>.</w:t>
            </w:r>
          </w:p>
          <w:p w14:paraId="163B2B57" w14:textId="01B01DDC" w:rsidR="009C031D" w:rsidRPr="005F08F0" w:rsidRDefault="009C031D" w:rsidP="009C031D">
            <w:pPr>
              <w:pStyle w:val="ListParagraph"/>
              <w:numPr>
                <w:ilvl w:val="0"/>
                <w:numId w:val="3"/>
              </w:numPr>
              <w:spacing w:line="360" w:lineRule="auto"/>
              <w:jc w:val="center"/>
              <w:rPr>
                <w:rFonts w:ascii="Comic Sans MS" w:hAnsi="Comic Sans MS" w:cs="Arial"/>
              </w:rPr>
            </w:pPr>
            <w:r w:rsidRPr="005F08F0">
              <w:rPr>
                <w:rFonts w:ascii="Comic Sans MS" w:hAnsi="Comic Sans MS" w:cs="Arial"/>
              </w:rPr>
              <w:t>Brief family and child history from all services with past and current involvement</w:t>
            </w:r>
            <w:r w:rsidR="00A75F10">
              <w:rPr>
                <w:rFonts w:ascii="Comic Sans MS" w:hAnsi="Comic Sans MS" w:cs="Arial"/>
              </w:rPr>
              <w:t xml:space="preserve"> (Social Work, Health, Education, Police)</w:t>
            </w:r>
          </w:p>
          <w:p w14:paraId="76FA5EED" w14:textId="77777777" w:rsidR="009C031D" w:rsidRPr="005F08F0" w:rsidRDefault="006F3A42" w:rsidP="009C031D">
            <w:pPr>
              <w:pStyle w:val="ListParagraph"/>
              <w:numPr>
                <w:ilvl w:val="0"/>
                <w:numId w:val="3"/>
              </w:numPr>
              <w:spacing w:line="360" w:lineRule="auto"/>
              <w:jc w:val="center"/>
              <w:rPr>
                <w:rFonts w:ascii="Comic Sans MS" w:hAnsi="Comic Sans MS" w:cs="Arial"/>
              </w:rPr>
            </w:pPr>
            <w:r>
              <w:rPr>
                <w:rFonts w:ascii="Comic Sans MS" w:hAnsi="Comic Sans MS" w:cs="Arial"/>
              </w:rPr>
              <w:t xml:space="preserve">Brief picture of </w:t>
            </w:r>
            <w:r w:rsidR="009C031D" w:rsidRPr="005F08F0">
              <w:rPr>
                <w:rFonts w:ascii="Comic Sans MS" w:hAnsi="Comic Sans MS" w:cs="Arial"/>
              </w:rPr>
              <w:t>child/young person</w:t>
            </w:r>
            <w:r>
              <w:rPr>
                <w:rFonts w:ascii="Comic Sans MS" w:hAnsi="Comic Sans MS" w:cs="Arial"/>
              </w:rPr>
              <w:t xml:space="preserve"> from</w:t>
            </w:r>
            <w:r w:rsidR="009C031D" w:rsidRPr="005F08F0">
              <w:rPr>
                <w:rFonts w:ascii="Comic Sans MS" w:hAnsi="Comic Sans MS" w:cs="Arial"/>
              </w:rPr>
              <w:t xml:space="preserve"> all services with current involvement</w:t>
            </w:r>
            <w:r w:rsidR="009C031D">
              <w:rPr>
                <w:rFonts w:ascii="Comic Sans MS" w:hAnsi="Comic Sans MS" w:cs="Arial"/>
              </w:rPr>
              <w:t>.</w:t>
            </w:r>
          </w:p>
          <w:p w14:paraId="7E189E62" w14:textId="77777777" w:rsidR="009C031D" w:rsidRPr="009C031D" w:rsidRDefault="009C031D" w:rsidP="009C031D">
            <w:pPr>
              <w:pStyle w:val="ListParagraph"/>
              <w:numPr>
                <w:ilvl w:val="0"/>
                <w:numId w:val="3"/>
              </w:numPr>
              <w:spacing w:line="360" w:lineRule="auto"/>
              <w:jc w:val="center"/>
              <w:rPr>
                <w:rFonts w:ascii="Comic Sans MS" w:hAnsi="Comic Sans MS" w:cs="Arial"/>
              </w:rPr>
            </w:pPr>
            <w:r w:rsidRPr="005F08F0">
              <w:rPr>
                <w:rFonts w:ascii="Comic Sans MS" w:hAnsi="Comic Sans MS" w:cs="Arial"/>
              </w:rPr>
              <w:t>Chronology of any past sexually harmful behaviours</w:t>
            </w:r>
            <w:r>
              <w:rPr>
                <w:rFonts w:ascii="Comic Sans MS" w:hAnsi="Comic Sans MS" w:cs="Arial"/>
              </w:rPr>
              <w:t>.</w:t>
            </w:r>
          </w:p>
        </w:tc>
      </w:tr>
    </w:tbl>
    <w:p w14:paraId="08ED5567" w14:textId="48F4A895" w:rsidR="00042847" w:rsidRPr="005F08F0" w:rsidRDefault="00042847" w:rsidP="0068738A">
      <w:pPr>
        <w:spacing w:line="360" w:lineRule="auto"/>
        <w:rPr>
          <w:rFonts w:ascii="Comic Sans MS" w:hAnsi="Comic Sans MS" w:cs="Arial"/>
        </w:rPr>
      </w:pPr>
    </w:p>
    <w:p w14:paraId="115D5114" w14:textId="729EE53F" w:rsidR="0045714C" w:rsidRPr="0060537B" w:rsidRDefault="00550A04" w:rsidP="00042847">
      <w:pPr>
        <w:pStyle w:val="ListParagraph"/>
        <w:numPr>
          <w:ilvl w:val="0"/>
          <w:numId w:val="6"/>
        </w:numPr>
        <w:spacing w:line="360" w:lineRule="auto"/>
        <w:jc w:val="center"/>
        <w:rPr>
          <w:rFonts w:ascii="Comic Sans MS" w:hAnsi="Comic Sans MS" w:cs="Arial"/>
          <w:b/>
          <w:color w:val="002060"/>
          <w:u w:val="single"/>
        </w:rPr>
      </w:pPr>
      <w:r>
        <w:rPr>
          <w:rFonts w:ascii="Comic Sans MS" w:hAnsi="Comic Sans MS" w:cs="Arial"/>
          <w:b/>
          <w:color w:val="002060"/>
          <w:u w:val="single"/>
        </w:rPr>
        <w:t>Review</w:t>
      </w:r>
    </w:p>
    <w:p w14:paraId="4A9602F6" w14:textId="54EBA2F1" w:rsidR="00A7529B" w:rsidRDefault="00A7529B" w:rsidP="00042847">
      <w:pPr>
        <w:jc w:val="center"/>
      </w:pPr>
    </w:p>
    <w:p w14:paraId="6ED6DE80" w14:textId="31B90D35" w:rsidR="0045714C" w:rsidRPr="00042847" w:rsidRDefault="0045714C" w:rsidP="00042847">
      <w:pPr>
        <w:jc w:val="center"/>
        <w:rPr>
          <w:rFonts w:ascii="Comic Sans MS" w:hAnsi="Comic Sans MS"/>
        </w:rPr>
      </w:pPr>
      <w:r w:rsidRPr="00042847">
        <w:rPr>
          <w:rFonts w:ascii="Comic Sans MS" w:hAnsi="Comic Sans MS"/>
        </w:rPr>
        <w:t>The Harmful Sexual Behaviour Planning meeting will consider what safety plans need to be put in place in order to keep the child/ young person, and those around them, safe. Safety Plans may need to be put in place for the home, community and educational establishments.</w:t>
      </w:r>
    </w:p>
    <w:p w14:paraId="0DB07ED1" w14:textId="4AF11281" w:rsidR="003A1578" w:rsidRPr="00042847" w:rsidRDefault="00A7529B" w:rsidP="00042847">
      <w:pPr>
        <w:jc w:val="center"/>
        <w:rPr>
          <w:rFonts w:ascii="Comic Sans MS" w:hAnsi="Comic Sans MS"/>
        </w:rPr>
      </w:pPr>
      <w:r w:rsidRPr="00042847">
        <w:rPr>
          <w:rFonts w:ascii="Comic Sans MS" w:hAnsi="Comic Sans MS"/>
        </w:rPr>
        <w:t>Risk management is an ongoing process and</w:t>
      </w:r>
      <w:r w:rsidR="0045714C" w:rsidRPr="00042847">
        <w:rPr>
          <w:rFonts w:ascii="Comic Sans MS" w:hAnsi="Comic Sans MS"/>
        </w:rPr>
        <w:t xml:space="preserve"> safety </w:t>
      </w:r>
      <w:r w:rsidRPr="00042847">
        <w:rPr>
          <w:rFonts w:ascii="Comic Sans MS" w:hAnsi="Comic Sans MS"/>
        </w:rPr>
        <w:t>plan</w:t>
      </w:r>
      <w:r w:rsidR="0060537B" w:rsidRPr="00042847">
        <w:rPr>
          <w:rFonts w:ascii="Comic Sans MS" w:hAnsi="Comic Sans MS"/>
        </w:rPr>
        <w:t>s</w:t>
      </w:r>
      <w:r w:rsidRPr="00042847">
        <w:rPr>
          <w:rFonts w:ascii="Comic Sans MS" w:hAnsi="Comic Sans MS"/>
        </w:rPr>
        <w:t xml:space="preserve"> </w:t>
      </w:r>
      <w:r w:rsidR="0060537B" w:rsidRPr="00042847">
        <w:rPr>
          <w:rFonts w:ascii="Comic Sans MS" w:hAnsi="Comic Sans MS"/>
        </w:rPr>
        <w:t>should</w:t>
      </w:r>
      <w:r w:rsidRPr="00042847">
        <w:rPr>
          <w:rFonts w:ascii="Comic Sans MS" w:hAnsi="Comic Sans MS"/>
        </w:rPr>
        <w:t xml:space="preserve"> be developed and reviewed by workers as the assessment and intervention is ongoing</w:t>
      </w:r>
      <w:r w:rsidRPr="00042847">
        <w:rPr>
          <w:rFonts w:ascii="Comic Sans MS" w:hAnsi="Comic Sans MS"/>
          <w:b/>
          <w:bCs/>
        </w:rPr>
        <w:t xml:space="preserve">. </w:t>
      </w:r>
      <w:r w:rsidR="003A1578" w:rsidRPr="00042847">
        <w:rPr>
          <w:rFonts w:ascii="Comic Sans MS" w:hAnsi="Comic Sans MS"/>
          <w:b/>
          <w:bCs/>
        </w:rPr>
        <w:t xml:space="preserve">If there are </w:t>
      </w:r>
      <w:r w:rsidR="003A1578" w:rsidRPr="00042847">
        <w:rPr>
          <w:rFonts w:ascii="Comic Sans MS" w:hAnsi="Comic Sans MS"/>
          <w:b/>
          <w:bCs/>
        </w:rPr>
        <w:lastRenderedPageBreak/>
        <w:t xml:space="preserve">safety plans in place, the key agencies involved should meet regularly </w:t>
      </w:r>
      <w:r w:rsidR="00EF51A9">
        <w:rPr>
          <w:rFonts w:ascii="Comic Sans MS" w:hAnsi="Comic Sans MS"/>
          <w:b/>
          <w:bCs/>
        </w:rPr>
        <w:t xml:space="preserve"> (4 – 6 weeks) </w:t>
      </w:r>
      <w:r w:rsidR="003A1578" w:rsidRPr="00042847">
        <w:rPr>
          <w:rFonts w:ascii="Comic Sans MS" w:hAnsi="Comic Sans MS"/>
          <w:b/>
          <w:bCs/>
        </w:rPr>
        <w:t>to manage, evaluate and monitor risk or potential risk.</w:t>
      </w:r>
    </w:p>
    <w:p w14:paraId="15DA5F14" w14:textId="126FA78C" w:rsidR="00D74D6A" w:rsidRPr="00BF4DA4" w:rsidRDefault="003A1578" w:rsidP="00BF4DA4">
      <w:pPr>
        <w:jc w:val="center"/>
        <w:rPr>
          <w:rFonts w:ascii="Comic Sans MS" w:hAnsi="Comic Sans MS"/>
        </w:rPr>
      </w:pPr>
      <w:r w:rsidRPr="00042847">
        <w:rPr>
          <w:rFonts w:ascii="Comic Sans MS" w:hAnsi="Comic Sans MS"/>
        </w:rPr>
        <w:t>If a child or young person is on the Child Protection, or CARM Register, there will be regular Core Group Meeting</w:t>
      </w:r>
      <w:r w:rsidR="00550A04" w:rsidRPr="00042847">
        <w:rPr>
          <w:rFonts w:ascii="Comic Sans MS" w:hAnsi="Comic Sans MS"/>
        </w:rPr>
        <w:t>, within which risk management should be reviewed.</w:t>
      </w:r>
    </w:p>
    <w:p w14:paraId="6A1114D4" w14:textId="6EF49FB6" w:rsidR="00550A04" w:rsidRDefault="00550A04" w:rsidP="00550A04">
      <w:pPr>
        <w:rPr>
          <w:rFonts w:ascii="Comic Sans MS" w:hAnsi="Comic Sans MS"/>
          <w:b/>
          <w:color w:val="002060"/>
          <w:u w:val="single"/>
        </w:rPr>
      </w:pPr>
      <w:r>
        <w:rPr>
          <w:rFonts w:ascii="Comic Sans MS" w:hAnsi="Comic Sans MS"/>
          <w:b/>
          <w:color w:val="002060"/>
          <w:u w:val="single"/>
        </w:rPr>
        <w:t>Useful Links</w:t>
      </w:r>
    </w:p>
    <w:p w14:paraId="0BE97568" w14:textId="5C1B7828" w:rsidR="006A3873" w:rsidRDefault="006A3873" w:rsidP="00550A04">
      <w:pPr>
        <w:rPr>
          <w:rFonts w:ascii="Comic Sans MS" w:hAnsi="Comic Sans MS"/>
        </w:rPr>
      </w:pPr>
      <w:r w:rsidRPr="006A3873">
        <w:rPr>
          <w:rFonts w:ascii="Comic Sans MS" w:hAnsi="Comic Sans MS"/>
        </w:rPr>
        <w:t xml:space="preserve">This guidance is limited in its scope. It intends to provide procedural guidance to professionals within Education and Social Work when working with children and young people who display harmful sexual behaviour. You may, therefore, find the following links helpful: </w:t>
      </w:r>
    </w:p>
    <w:p w14:paraId="24DD7491" w14:textId="5ECDB6F1" w:rsidR="00D74D6A" w:rsidRDefault="00D74D6A" w:rsidP="00550A04">
      <w:pPr>
        <w:rPr>
          <w:rFonts w:ascii="Comic Sans MS" w:hAnsi="Comic Sans MS"/>
        </w:rPr>
      </w:pPr>
    </w:p>
    <w:p w14:paraId="14F01458" w14:textId="23A3C549" w:rsidR="00D74D6A" w:rsidRPr="00D74D6A" w:rsidRDefault="00BF4DA4" w:rsidP="00D74D6A">
      <w:pPr>
        <w:pStyle w:val="ListParagraph"/>
        <w:numPr>
          <w:ilvl w:val="0"/>
          <w:numId w:val="8"/>
        </w:numPr>
        <w:rPr>
          <w:rFonts w:ascii="Comic Sans MS" w:hAnsi="Comic Sans MS"/>
        </w:rPr>
      </w:pPr>
      <w:hyperlink r:id="rId12" w:history="1">
        <w:r w:rsidR="00D74D6A">
          <w:rPr>
            <w:rStyle w:val="Hyperlink"/>
          </w:rPr>
          <w:t>Harmful sexual behaviour (HSB) or peer-on-peer sexual abuse | NSPCC Learning</w:t>
        </w:r>
      </w:hyperlink>
    </w:p>
    <w:p w14:paraId="5CD442C8" w14:textId="77777777" w:rsidR="00D74D6A" w:rsidRPr="00D74D6A" w:rsidRDefault="00D74D6A" w:rsidP="00D74D6A">
      <w:pPr>
        <w:pStyle w:val="ListParagraph"/>
        <w:rPr>
          <w:rFonts w:ascii="Comic Sans MS" w:hAnsi="Comic Sans MS"/>
        </w:rPr>
      </w:pPr>
    </w:p>
    <w:p w14:paraId="6F4DA1C3" w14:textId="5612D483" w:rsidR="006A3873" w:rsidRPr="00D74D6A" w:rsidRDefault="006A3873" w:rsidP="00D74D6A">
      <w:pPr>
        <w:pStyle w:val="ListParagraph"/>
        <w:numPr>
          <w:ilvl w:val="0"/>
          <w:numId w:val="8"/>
        </w:numPr>
        <w:rPr>
          <w:rFonts w:ascii="Comic Sans MS" w:hAnsi="Comic Sans MS"/>
          <w:u w:val="single"/>
        </w:rPr>
      </w:pPr>
      <w:r w:rsidRPr="00D74D6A">
        <w:rPr>
          <w:rFonts w:ascii="Comic Sans MS" w:hAnsi="Comic Sans MS"/>
        </w:rPr>
        <w:t xml:space="preserve">The Brook Sexual Behaviours Traffic Light Tool offers guidance for age-appropriate behaviour. A link to this tool can be accessed at: </w:t>
      </w:r>
      <w:hyperlink r:id="rId13" w:history="1">
        <w:r w:rsidRPr="00D74D6A">
          <w:rPr>
            <w:rStyle w:val="Hyperlink"/>
            <w:rFonts w:ascii="Comic Sans MS" w:hAnsi="Comic Sans MS"/>
          </w:rPr>
          <w:t>CPD: Brook Sexual Behaviours Traffic Light Tool (RSE) Course</w:t>
        </w:r>
      </w:hyperlink>
    </w:p>
    <w:p w14:paraId="2B6F87F9" w14:textId="77777777" w:rsidR="00D74D6A" w:rsidRPr="00D74D6A" w:rsidRDefault="00D74D6A" w:rsidP="00D74D6A">
      <w:pPr>
        <w:rPr>
          <w:rFonts w:ascii="Comic Sans MS" w:hAnsi="Comic Sans MS"/>
          <w:u w:val="single"/>
        </w:rPr>
      </w:pPr>
    </w:p>
    <w:p w14:paraId="29CF8168" w14:textId="0C9948CB" w:rsidR="006A3873" w:rsidRPr="00D74D6A" w:rsidRDefault="00BF4DA4" w:rsidP="00D74D6A">
      <w:pPr>
        <w:pStyle w:val="ListParagraph"/>
        <w:numPr>
          <w:ilvl w:val="0"/>
          <w:numId w:val="8"/>
        </w:numPr>
        <w:rPr>
          <w:rFonts w:ascii="Comic Sans MS" w:hAnsi="Comic Sans MS"/>
          <w:u w:val="single"/>
        </w:rPr>
      </w:pPr>
      <w:hyperlink r:id="rId14" w:history="1">
        <w:r w:rsidR="00D74D6A" w:rsidRPr="00D74D6A">
          <w:rPr>
            <w:rStyle w:val="Hyperlink"/>
            <w:rFonts w:ascii="Comic Sans MS" w:hAnsi="Comic Sans MS"/>
          </w:rPr>
          <w:t>National Guidance for Child Protection in Scotland 2021 (www.gov.scot)</w:t>
        </w:r>
      </w:hyperlink>
    </w:p>
    <w:p w14:paraId="6F8A3BC1" w14:textId="77777777" w:rsidR="00D74D6A" w:rsidRPr="00D74D6A" w:rsidRDefault="00D74D6A" w:rsidP="00D74D6A">
      <w:pPr>
        <w:rPr>
          <w:rFonts w:ascii="Comic Sans MS" w:hAnsi="Comic Sans MS"/>
          <w:u w:val="single"/>
        </w:rPr>
      </w:pPr>
    </w:p>
    <w:p w14:paraId="14570C2E" w14:textId="0F5C4AAC" w:rsidR="00BF4DA4" w:rsidRDefault="006A3873" w:rsidP="00BF4DA4">
      <w:pPr>
        <w:pStyle w:val="ListParagraph"/>
        <w:numPr>
          <w:ilvl w:val="0"/>
          <w:numId w:val="8"/>
        </w:numPr>
        <w:rPr>
          <w:rFonts w:ascii="Comic Sans MS" w:hAnsi="Comic Sans MS"/>
        </w:rPr>
      </w:pPr>
      <w:r w:rsidRPr="00D74D6A">
        <w:rPr>
          <w:rFonts w:ascii="Comic Sans MS" w:hAnsi="Comic Sans MS"/>
          <w:u w:val="single"/>
        </w:rPr>
        <w:t>Care and Risk Management (CARM)</w:t>
      </w:r>
      <w:r w:rsidRPr="00D74D6A">
        <w:rPr>
          <w:rFonts w:ascii="Comic Sans MS" w:hAnsi="Comic Sans MS"/>
        </w:rPr>
        <w:t xml:space="preserve"> processes may be applied when a child (aged 12-17) has been involved in an incident of a serious nature or where a pattern of significant escalation of lesser behaviours suggests that an incident of a serious nature may be imminent. CARM Guidance can be accessed at: </w:t>
      </w:r>
      <w:hyperlink r:id="rId15" w:history="1">
        <w:r w:rsidRPr="00D74D6A">
          <w:rPr>
            <w:rStyle w:val="Hyperlink"/>
            <w:rFonts w:ascii="Comic Sans MS" w:hAnsi="Comic Sans MS"/>
          </w:rPr>
          <w:t>https://www.rma.scot/resource/standards-guidelines/</w:t>
        </w:r>
      </w:hyperlink>
      <w:r w:rsidRPr="00D74D6A">
        <w:rPr>
          <w:rFonts w:ascii="Comic Sans MS" w:hAnsi="Comic Sans MS"/>
        </w:rPr>
        <w:t>.</w:t>
      </w:r>
    </w:p>
    <w:p w14:paraId="31F339B9" w14:textId="77777777" w:rsidR="00BF4DA4" w:rsidRPr="00BF4DA4" w:rsidRDefault="00BF4DA4" w:rsidP="00BF4DA4">
      <w:pPr>
        <w:pStyle w:val="ListParagraph"/>
        <w:rPr>
          <w:rFonts w:ascii="Comic Sans MS" w:hAnsi="Comic Sans MS"/>
        </w:rPr>
      </w:pPr>
    </w:p>
    <w:p w14:paraId="193C1B62" w14:textId="77777777" w:rsidR="00BF4DA4" w:rsidRPr="00BF4DA4" w:rsidRDefault="00BF4DA4" w:rsidP="00BF4DA4">
      <w:pPr>
        <w:pStyle w:val="ListParagraph"/>
        <w:rPr>
          <w:rFonts w:ascii="Comic Sans MS" w:hAnsi="Comic Sans MS"/>
        </w:rPr>
      </w:pPr>
    </w:p>
    <w:p w14:paraId="18594CB8" w14:textId="39A80F8D" w:rsidR="006A3873" w:rsidRPr="00D74D6A" w:rsidRDefault="00BF4DA4" w:rsidP="00D74D6A">
      <w:pPr>
        <w:pStyle w:val="ListParagraph"/>
        <w:numPr>
          <w:ilvl w:val="0"/>
          <w:numId w:val="8"/>
        </w:numPr>
        <w:rPr>
          <w:rFonts w:ascii="Comic Sans MS" w:hAnsi="Comic Sans MS"/>
          <w:b/>
          <w:color w:val="002060"/>
          <w:u w:val="single"/>
        </w:rPr>
      </w:pPr>
      <w:hyperlink r:id="rId16" w:history="1">
        <w:r w:rsidR="006A3873" w:rsidRPr="00D74D6A">
          <w:rPr>
            <w:rStyle w:val="Hyperlink"/>
            <w:rFonts w:ascii="Comic Sans MS" w:hAnsi="Comic Sans MS"/>
          </w:rPr>
          <w:t>Harmful sexual behaviour by children and young people: Expert Group report - gov.scot (www.gov.scot)</w:t>
        </w:r>
      </w:hyperlink>
    </w:p>
    <w:p w14:paraId="09939A4B" w14:textId="77777777" w:rsidR="00D74D6A" w:rsidRPr="00D74D6A" w:rsidRDefault="00D74D6A" w:rsidP="00D74D6A">
      <w:pPr>
        <w:pStyle w:val="ListParagraph"/>
        <w:rPr>
          <w:rFonts w:ascii="Comic Sans MS" w:hAnsi="Comic Sans MS"/>
          <w:b/>
          <w:color w:val="002060"/>
          <w:u w:val="single"/>
        </w:rPr>
      </w:pPr>
    </w:p>
    <w:p w14:paraId="3335FFEE" w14:textId="2EBD2D71" w:rsidR="00D74D6A" w:rsidRPr="00BF4DA4" w:rsidRDefault="00D74D6A" w:rsidP="003A1578">
      <w:pPr>
        <w:pStyle w:val="ListParagraph"/>
        <w:numPr>
          <w:ilvl w:val="0"/>
          <w:numId w:val="8"/>
        </w:numPr>
        <w:rPr>
          <w:rStyle w:val="Hyperlink"/>
          <w:rFonts w:ascii="Comic Sans MS" w:hAnsi="Comic Sans MS"/>
          <w:b/>
          <w:color w:val="002060"/>
        </w:rPr>
      </w:pPr>
      <w:r>
        <w:t xml:space="preserve">What’s the Problem? A guide for parents of children and young people who have got in trouble online. Can be accessed at: </w:t>
      </w:r>
      <w:hyperlink r:id="rId17" w:history="1">
        <w:r>
          <w:rPr>
            <w:rStyle w:val="Hyperlink"/>
          </w:rPr>
          <w:t>LFF ELEC Resource Pack for Parents_MAY21.pdf</w:t>
        </w:r>
      </w:hyperlink>
    </w:p>
    <w:p w14:paraId="1435B262" w14:textId="77777777" w:rsidR="00BF4DA4" w:rsidRPr="00BF4DA4" w:rsidRDefault="00BF4DA4" w:rsidP="00BF4DA4">
      <w:pPr>
        <w:pStyle w:val="ListParagraph"/>
        <w:rPr>
          <w:rFonts w:ascii="Comic Sans MS" w:hAnsi="Comic Sans MS"/>
          <w:b/>
          <w:color w:val="002060"/>
          <w:u w:val="single"/>
        </w:rPr>
      </w:pPr>
    </w:p>
    <w:p w14:paraId="25965B34" w14:textId="6BE09723" w:rsidR="00BF4DA4" w:rsidRPr="00907627" w:rsidRDefault="00BF4DA4" w:rsidP="003A1578">
      <w:pPr>
        <w:pStyle w:val="ListParagraph"/>
        <w:numPr>
          <w:ilvl w:val="0"/>
          <w:numId w:val="8"/>
        </w:numPr>
        <w:rPr>
          <w:rFonts w:ascii="Comic Sans MS" w:hAnsi="Comic Sans MS"/>
          <w:b/>
          <w:color w:val="002060"/>
          <w:u w:val="single"/>
        </w:rPr>
      </w:pPr>
      <w:hyperlink r:id="rId18" w:history="1">
        <w:r>
          <w:rPr>
            <w:rStyle w:val="Hyperlink"/>
          </w:rPr>
          <w:t>Home - Shore (shorespace.org.uk)</w:t>
        </w:r>
      </w:hyperlink>
      <w:r>
        <w:t xml:space="preserve">  (help and advice for young people worried about their sexual behaviour online)</w:t>
      </w:r>
    </w:p>
    <w:p w14:paraId="777CF8C7" w14:textId="1A4C1386" w:rsidR="008D363A" w:rsidRPr="004A33E8" w:rsidRDefault="008D363A" w:rsidP="008D363A">
      <w:pPr>
        <w:rPr>
          <w:rFonts w:ascii="Comic Sans MS" w:hAnsi="Comic Sans MS"/>
          <w:b/>
          <w:color w:val="002060"/>
          <w:u w:val="single"/>
        </w:rPr>
      </w:pPr>
      <w:r w:rsidRPr="004A33E8">
        <w:rPr>
          <w:rFonts w:ascii="Comic Sans MS" w:hAnsi="Comic Sans MS"/>
          <w:b/>
          <w:color w:val="002060"/>
          <w:u w:val="single"/>
        </w:rPr>
        <w:t>Working Group Membership</w:t>
      </w:r>
      <w:r w:rsidR="00907627">
        <w:rPr>
          <w:rFonts w:ascii="Comic Sans MS" w:hAnsi="Comic Sans MS"/>
          <w:b/>
          <w:color w:val="002060"/>
          <w:u w:val="single"/>
        </w:rPr>
        <w:t>:  This Guidance will be reviewed in June 2024.</w:t>
      </w:r>
    </w:p>
    <w:tbl>
      <w:tblPr>
        <w:tblStyle w:val="TableGrid"/>
        <w:tblW w:w="0" w:type="auto"/>
        <w:tblLook w:val="04A0" w:firstRow="1" w:lastRow="0" w:firstColumn="1" w:lastColumn="0" w:noHBand="0" w:noVBand="1"/>
      </w:tblPr>
      <w:tblGrid>
        <w:gridCol w:w="2405"/>
        <w:gridCol w:w="6611"/>
      </w:tblGrid>
      <w:tr w:rsidR="004A33E8" w:rsidRPr="004A33E8" w14:paraId="61F70E9D" w14:textId="77777777" w:rsidTr="008D363A">
        <w:tc>
          <w:tcPr>
            <w:tcW w:w="2405" w:type="dxa"/>
          </w:tcPr>
          <w:p w14:paraId="1060EC72" w14:textId="77777777" w:rsidR="008D363A" w:rsidRPr="004A33E8" w:rsidRDefault="008D363A" w:rsidP="008D363A">
            <w:pPr>
              <w:rPr>
                <w:rFonts w:ascii="Comic Sans MS" w:hAnsi="Comic Sans MS"/>
                <w:color w:val="002060"/>
              </w:rPr>
            </w:pPr>
            <w:r w:rsidRPr="004A33E8">
              <w:rPr>
                <w:rFonts w:ascii="Comic Sans MS" w:hAnsi="Comic Sans MS"/>
                <w:color w:val="002060"/>
              </w:rPr>
              <w:t>Emma Bilsland</w:t>
            </w:r>
            <w:r w:rsidR="004A33E8" w:rsidRPr="004A33E8">
              <w:rPr>
                <w:rFonts w:ascii="Comic Sans MS" w:hAnsi="Comic Sans MS"/>
                <w:color w:val="002060"/>
              </w:rPr>
              <w:t xml:space="preserve"> -</w:t>
            </w:r>
            <w:r w:rsidR="009C7E8A">
              <w:rPr>
                <w:rFonts w:ascii="Comic Sans MS" w:hAnsi="Comic Sans MS"/>
                <w:color w:val="002060"/>
              </w:rPr>
              <w:t>Lead</w:t>
            </w:r>
          </w:p>
        </w:tc>
        <w:tc>
          <w:tcPr>
            <w:tcW w:w="6611" w:type="dxa"/>
          </w:tcPr>
          <w:p w14:paraId="715B9885" w14:textId="77777777" w:rsidR="008D363A" w:rsidRPr="004A33E8" w:rsidRDefault="008D363A" w:rsidP="008D363A">
            <w:pPr>
              <w:rPr>
                <w:rFonts w:ascii="Comic Sans MS" w:hAnsi="Comic Sans MS"/>
                <w:color w:val="002060"/>
              </w:rPr>
            </w:pPr>
            <w:r w:rsidRPr="004A33E8">
              <w:rPr>
                <w:rFonts w:ascii="Comic Sans MS" w:hAnsi="Comic Sans MS"/>
                <w:color w:val="002060"/>
              </w:rPr>
              <w:t>Children’s Planning and Improvement Officer, HSCP</w:t>
            </w:r>
          </w:p>
        </w:tc>
      </w:tr>
      <w:tr w:rsidR="004A33E8" w:rsidRPr="004A33E8" w14:paraId="359FF384" w14:textId="77777777" w:rsidTr="008D363A">
        <w:tc>
          <w:tcPr>
            <w:tcW w:w="2405" w:type="dxa"/>
          </w:tcPr>
          <w:p w14:paraId="5DF8973E" w14:textId="77777777" w:rsidR="008D363A" w:rsidRPr="004A33E8" w:rsidRDefault="008D363A" w:rsidP="008D363A">
            <w:pPr>
              <w:rPr>
                <w:rFonts w:ascii="Comic Sans MS" w:hAnsi="Comic Sans MS"/>
                <w:color w:val="002060"/>
              </w:rPr>
            </w:pPr>
            <w:r w:rsidRPr="004A33E8">
              <w:rPr>
                <w:rFonts w:ascii="Comic Sans MS" w:hAnsi="Comic Sans MS"/>
                <w:color w:val="002060"/>
              </w:rPr>
              <w:t>Jackie Chisholm</w:t>
            </w:r>
          </w:p>
        </w:tc>
        <w:tc>
          <w:tcPr>
            <w:tcW w:w="6611" w:type="dxa"/>
          </w:tcPr>
          <w:p w14:paraId="24CF092E" w14:textId="19F5CE1B" w:rsidR="008D363A" w:rsidRPr="004A33E8" w:rsidRDefault="00EF51A9" w:rsidP="008D363A">
            <w:pPr>
              <w:rPr>
                <w:rFonts w:ascii="Comic Sans MS" w:hAnsi="Comic Sans MS"/>
                <w:color w:val="002060"/>
              </w:rPr>
            </w:pPr>
            <w:r w:rsidRPr="004A33E8">
              <w:rPr>
                <w:rFonts w:ascii="Comic Sans MS" w:hAnsi="Comic Sans MS"/>
                <w:color w:val="002060"/>
              </w:rPr>
              <w:t xml:space="preserve">Children’s Planning and Improvement Officer, </w:t>
            </w:r>
            <w:r w:rsidR="004A33E8" w:rsidRPr="004A33E8">
              <w:rPr>
                <w:rFonts w:ascii="Comic Sans MS" w:hAnsi="Comic Sans MS"/>
                <w:color w:val="002060"/>
              </w:rPr>
              <w:t>HSCP</w:t>
            </w:r>
          </w:p>
        </w:tc>
      </w:tr>
      <w:tr w:rsidR="004A33E8" w:rsidRPr="004A33E8" w14:paraId="2C7F69F7" w14:textId="77777777" w:rsidTr="008D363A">
        <w:tc>
          <w:tcPr>
            <w:tcW w:w="2405" w:type="dxa"/>
          </w:tcPr>
          <w:p w14:paraId="544DE592" w14:textId="77777777" w:rsidR="008D363A" w:rsidRPr="004A33E8" w:rsidRDefault="004A33E8" w:rsidP="008D363A">
            <w:pPr>
              <w:rPr>
                <w:rFonts w:ascii="Comic Sans MS" w:hAnsi="Comic Sans MS"/>
                <w:color w:val="002060"/>
              </w:rPr>
            </w:pPr>
            <w:r w:rsidRPr="004A33E8">
              <w:rPr>
                <w:rFonts w:ascii="Comic Sans MS" w:hAnsi="Comic Sans MS"/>
                <w:color w:val="002060"/>
              </w:rPr>
              <w:t>DS John Aikman</w:t>
            </w:r>
          </w:p>
        </w:tc>
        <w:tc>
          <w:tcPr>
            <w:tcW w:w="6611" w:type="dxa"/>
          </w:tcPr>
          <w:p w14:paraId="4B6CEAFB" w14:textId="77777777" w:rsidR="008D363A" w:rsidRPr="004A33E8" w:rsidRDefault="004A33E8" w:rsidP="008D363A">
            <w:pPr>
              <w:rPr>
                <w:rFonts w:ascii="Comic Sans MS" w:hAnsi="Comic Sans MS"/>
                <w:color w:val="002060"/>
              </w:rPr>
            </w:pPr>
            <w:r w:rsidRPr="004A33E8">
              <w:rPr>
                <w:rFonts w:ascii="Comic Sans MS" w:hAnsi="Comic Sans MS"/>
                <w:color w:val="002060"/>
              </w:rPr>
              <w:t>Police Scotland</w:t>
            </w:r>
          </w:p>
        </w:tc>
      </w:tr>
      <w:tr w:rsidR="004A33E8" w:rsidRPr="004A33E8" w14:paraId="3C3E4FF6" w14:textId="77777777" w:rsidTr="008D363A">
        <w:tc>
          <w:tcPr>
            <w:tcW w:w="2405" w:type="dxa"/>
          </w:tcPr>
          <w:p w14:paraId="2F10E6D9" w14:textId="77777777" w:rsidR="008D363A" w:rsidRPr="004A33E8" w:rsidRDefault="004A33E8" w:rsidP="008D363A">
            <w:pPr>
              <w:rPr>
                <w:rFonts w:ascii="Comic Sans MS" w:hAnsi="Comic Sans MS"/>
                <w:color w:val="002060"/>
              </w:rPr>
            </w:pPr>
            <w:r w:rsidRPr="004A33E8">
              <w:rPr>
                <w:rFonts w:ascii="Comic Sans MS" w:hAnsi="Comic Sans MS"/>
                <w:color w:val="002060"/>
              </w:rPr>
              <w:lastRenderedPageBreak/>
              <w:t>Craig Gibson</w:t>
            </w:r>
          </w:p>
        </w:tc>
        <w:tc>
          <w:tcPr>
            <w:tcW w:w="6611" w:type="dxa"/>
          </w:tcPr>
          <w:p w14:paraId="3674DC90" w14:textId="77777777" w:rsidR="008D363A" w:rsidRPr="004A33E8" w:rsidRDefault="004A33E8" w:rsidP="008D363A">
            <w:pPr>
              <w:rPr>
                <w:rFonts w:ascii="Comic Sans MS" w:hAnsi="Comic Sans MS"/>
                <w:color w:val="002060"/>
              </w:rPr>
            </w:pPr>
            <w:r w:rsidRPr="004A33E8">
              <w:rPr>
                <w:rFonts w:ascii="Comic Sans MS" w:hAnsi="Comic Sans MS"/>
                <w:color w:val="002060"/>
              </w:rPr>
              <w:t>Head Teacher, Clydeview Academy</w:t>
            </w:r>
          </w:p>
        </w:tc>
      </w:tr>
      <w:tr w:rsidR="004A33E8" w:rsidRPr="004A33E8" w14:paraId="1B6DDACA" w14:textId="77777777" w:rsidTr="008D363A">
        <w:tc>
          <w:tcPr>
            <w:tcW w:w="2405" w:type="dxa"/>
          </w:tcPr>
          <w:p w14:paraId="3D8E6D6E" w14:textId="77777777" w:rsidR="008D363A" w:rsidRPr="004A33E8" w:rsidRDefault="004A33E8" w:rsidP="008D363A">
            <w:pPr>
              <w:rPr>
                <w:rFonts w:ascii="Comic Sans MS" w:hAnsi="Comic Sans MS"/>
                <w:color w:val="002060"/>
              </w:rPr>
            </w:pPr>
            <w:r w:rsidRPr="004A33E8">
              <w:rPr>
                <w:rFonts w:ascii="Comic Sans MS" w:hAnsi="Comic Sans MS"/>
                <w:color w:val="002060"/>
              </w:rPr>
              <w:t>Catriona Miller</w:t>
            </w:r>
          </w:p>
        </w:tc>
        <w:tc>
          <w:tcPr>
            <w:tcW w:w="6611" w:type="dxa"/>
          </w:tcPr>
          <w:p w14:paraId="1C08DF5E" w14:textId="77777777" w:rsidR="008D363A" w:rsidRPr="004A33E8" w:rsidRDefault="004A33E8" w:rsidP="008D363A">
            <w:pPr>
              <w:rPr>
                <w:rFonts w:ascii="Comic Sans MS" w:hAnsi="Comic Sans MS"/>
                <w:color w:val="002060"/>
              </w:rPr>
            </w:pPr>
            <w:r w:rsidRPr="004A33E8">
              <w:rPr>
                <w:rFonts w:ascii="Comic Sans MS" w:hAnsi="Comic Sans MS"/>
                <w:color w:val="002060"/>
              </w:rPr>
              <w:t>Head Teacher, Aileymill Primary School</w:t>
            </w:r>
          </w:p>
        </w:tc>
      </w:tr>
      <w:tr w:rsidR="004A33E8" w:rsidRPr="004A33E8" w14:paraId="3E66710C" w14:textId="77777777" w:rsidTr="008D363A">
        <w:tc>
          <w:tcPr>
            <w:tcW w:w="2405" w:type="dxa"/>
          </w:tcPr>
          <w:p w14:paraId="606F2F5A" w14:textId="77777777" w:rsidR="008D363A" w:rsidRPr="004A33E8" w:rsidRDefault="004A33E8" w:rsidP="008D363A">
            <w:pPr>
              <w:rPr>
                <w:rFonts w:ascii="Comic Sans MS" w:hAnsi="Comic Sans MS"/>
                <w:color w:val="002060"/>
              </w:rPr>
            </w:pPr>
            <w:r w:rsidRPr="004A33E8">
              <w:rPr>
                <w:rFonts w:ascii="Comic Sans MS" w:hAnsi="Comic Sans MS"/>
                <w:color w:val="002060"/>
              </w:rPr>
              <w:t>Hazel Mitchell</w:t>
            </w:r>
          </w:p>
        </w:tc>
        <w:tc>
          <w:tcPr>
            <w:tcW w:w="6611" w:type="dxa"/>
          </w:tcPr>
          <w:p w14:paraId="247883D6" w14:textId="77777777" w:rsidR="008D363A" w:rsidRPr="004A33E8" w:rsidRDefault="004A33E8" w:rsidP="008D363A">
            <w:pPr>
              <w:rPr>
                <w:rFonts w:ascii="Comic Sans MS" w:hAnsi="Comic Sans MS"/>
                <w:color w:val="002060"/>
              </w:rPr>
            </w:pPr>
            <w:r w:rsidRPr="004A33E8">
              <w:rPr>
                <w:rFonts w:ascii="Comic Sans MS" w:hAnsi="Comic Sans MS"/>
                <w:color w:val="002060"/>
              </w:rPr>
              <w:t>Head Teacher, Newark Nursery School</w:t>
            </w:r>
          </w:p>
        </w:tc>
      </w:tr>
      <w:tr w:rsidR="004A33E8" w:rsidRPr="004A33E8" w14:paraId="3D3FE123" w14:textId="77777777" w:rsidTr="008D363A">
        <w:tc>
          <w:tcPr>
            <w:tcW w:w="2405" w:type="dxa"/>
          </w:tcPr>
          <w:p w14:paraId="7B0BBE0F" w14:textId="77777777" w:rsidR="004A33E8" w:rsidRPr="004A33E8" w:rsidRDefault="004A33E8" w:rsidP="008D363A">
            <w:pPr>
              <w:rPr>
                <w:rFonts w:ascii="Comic Sans MS" w:hAnsi="Comic Sans MS"/>
                <w:color w:val="002060"/>
              </w:rPr>
            </w:pPr>
            <w:r w:rsidRPr="004A33E8">
              <w:rPr>
                <w:rFonts w:ascii="Comic Sans MS" w:hAnsi="Comic Sans MS"/>
                <w:color w:val="002060"/>
              </w:rPr>
              <w:t xml:space="preserve">Laurence Reilly </w:t>
            </w:r>
          </w:p>
        </w:tc>
        <w:tc>
          <w:tcPr>
            <w:tcW w:w="6611" w:type="dxa"/>
          </w:tcPr>
          <w:p w14:paraId="0C874A73" w14:textId="77777777" w:rsidR="004A33E8" w:rsidRPr="004A33E8" w:rsidRDefault="004A33E8" w:rsidP="008D363A">
            <w:pPr>
              <w:rPr>
                <w:rFonts w:ascii="Comic Sans MS" w:hAnsi="Comic Sans MS"/>
                <w:color w:val="002060"/>
              </w:rPr>
            </w:pPr>
            <w:r w:rsidRPr="004A33E8">
              <w:rPr>
                <w:rFonts w:ascii="Comic Sans MS" w:hAnsi="Comic Sans MS"/>
                <w:color w:val="002060"/>
              </w:rPr>
              <w:t>Principle Educational Psychologist</w:t>
            </w:r>
          </w:p>
        </w:tc>
      </w:tr>
    </w:tbl>
    <w:p w14:paraId="56ACE0DE" w14:textId="77777777" w:rsidR="006F3A42" w:rsidRDefault="006F3A42" w:rsidP="008D363A">
      <w:pPr>
        <w:rPr>
          <w:rFonts w:ascii="Comic Sans MS" w:hAnsi="Comic Sans MS"/>
        </w:rPr>
      </w:pPr>
    </w:p>
    <w:p w14:paraId="413B86BB" w14:textId="77777777" w:rsidR="009C7E8A" w:rsidRDefault="009C7E8A" w:rsidP="008D363A">
      <w:pPr>
        <w:rPr>
          <w:rFonts w:ascii="Comic Sans MS" w:hAnsi="Comic Sans MS"/>
        </w:rPr>
      </w:pPr>
    </w:p>
    <w:p w14:paraId="443A9A70" w14:textId="77777777" w:rsidR="009C7E8A" w:rsidRPr="005F08F0" w:rsidRDefault="009C7E8A" w:rsidP="008D363A">
      <w:pPr>
        <w:rPr>
          <w:rFonts w:ascii="Comic Sans MS" w:hAnsi="Comic Sans MS"/>
        </w:rPr>
      </w:pPr>
    </w:p>
    <w:sectPr w:rsidR="009C7E8A" w:rsidRPr="005F08F0">
      <w:headerReference w:type="even" r:id="rId19"/>
      <w:head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CF75" w14:textId="77777777" w:rsidR="001B7FE3" w:rsidRDefault="001B7FE3" w:rsidP="001B7FE3">
      <w:pPr>
        <w:spacing w:after="0" w:line="240" w:lineRule="auto"/>
      </w:pPr>
      <w:r>
        <w:separator/>
      </w:r>
    </w:p>
  </w:endnote>
  <w:endnote w:type="continuationSeparator" w:id="0">
    <w:p w14:paraId="1754782A" w14:textId="77777777" w:rsidR="001B7FE3" w:rsidRDefault="001B7FE3" w:rsidP="001B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45CC" w14:textId="77777777" w:rsidR="001B7FE3" w:rsidRDefault="001B7FE3" w:rsidP="001B7FE3">
      <w:pPr>
        <w:spacing w:after="0" w:line="240" w:lineRule="auto"/>
      </w:pPr>
      <w:r>
        <w:separator/>
      </w:r>
    </w:p>
  </w:footnote>
  <w:footnote w:type="continuationSeparator" w:id="0">
    <w:p w14:paraId="4A29BE28" w14:textId="77777777" w:rsidR="001B7FE3" w:rsidRDefault="001B7FE3" w:rsidP="001B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AAC" w14:textId="60CECC70" w:rsidR="001B7FE3" w:rsidRDefault="001B7FE3">
    <w:pPr>
      <w:pStyle w:val="Header"/>
    </w:pPr>
    <w:r>
      <w:rPr>
        <w:noProof/>
      </w:rPr>
      <mc:AlternateContent>
        <mc:Choice Requires="wps">
          <w:drawing>
            <wp:anchor distT="0" distB="0" distL="0" distR="0" simplePos="0" relativeHeight="251659264" behindDoc="0" locked="0" layoutInCell="1" allowOverlap="1" wp14:anchorId="7885C38B" wp14:editId="3B4DC66B">
              <wp:simplePos x="635" y="635"/>
              <wp:positionH relativeFrom="page">
                <wp:align>left</wp:align>
              </wp:positionH>
              <wp:positionV relativeFrom="page">
                <wp:align>top</wp:align>
              </wp:positionV>
              <wp:extent cx="443865" cy="443865"/>
              <wp:effectExtent l="0" t="0" r="10160" b="8890"/>
              <wp:wrapNone/>
              <wp:docPr id="399159539"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449B1" w14:textId="3BEBF387"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85C38B" id="_x0000_t202" coordsize="21600,21600" o:spt="202" path="m,l,21600r21600,l21600,xe">
              <v:stroke joinstyle="miter"/>
              <v:path gradientshapeok="t" o:connecttype="rect"/>
            </v:shapetype>
            <v:shape id="Text Box 2" o:spid="_x0000_s1027"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7E449B1" w14:textId="3BEBF387"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F830" w14:textId="71EC993F" w:rsidR="001B7FE3" w:rsidRDefault="001B7FE3">
    <w:pPr>
      <w:pStyle w:val="Header"/>
    </w:pPr>
    <w:r>
      <w:rPr>
        <w:noProof/>
      </w:rPr>
      <mc:AlternateContent>
        <mc:Choice Requires="wps">
          <w:drawing>
            <wp:anchor distT="0" distB="0" distL="0" distR="0" simplePos="0" relativeHeight="251660288" behindDoc="0" locked="0" layoutInCell="1" allowOverlap="1" wp14:anchorId="1CBFF289" wp14:editId="4C33799E">
              <wp:simplePos x="914400" y="450850"/>
              <wp:positionH relativeFrom="page">
                <wp:align>left</wp:align>
              </wp:positionH>
              <wp:positionV relativeFrom="page">
                <wp:align>top</wp:align>
              </wp:positionV>
              <wp:extent cx="443865" cy="443865"/>
              <wp:effectExtent l="0" t="0" r="10160" b="8890"/>
              <wp:wrapNone/>
              <wp:docPr id="21969545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360EA" w14:textId="16899593"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FF289" id="_x0000_t202" coordsize="21600,21600" o:spt="202" path="m,l,21600r21600,l21600,xe">
              <v:stroke joinstyle="miter"/>
              <v:path gradientshapeok="t" o:connecttype="rect"/>
            </v:shapetype>
            <v:shape id="Text Box 3" o:spid="_x0000_s1028"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36360EA" w14:textId="16899593"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AAB1" w14:textId="55D4B771" w:rsidR="001B7FE3" w:rsidRDefault="001B7FE3">
    <w:pPr>
      <w:pStyle w:val="Header"/>
    </w:pPr>
    <w:r>
      <w:rPr>
        <w:noProof/>
      </w:rPr>
      <mc:AlternateContent>
        <mc:Choice Requires="wps">
          <w:drawing>
            <wp:anchor distT="0" distB="0" distL="0" distR="0" simplePos="0" relativeHeight="251658240" behindDoc="0" locked="0" layoutInCell="1" allowOverlap="1" wp14:anchorId="5C8E5FE9" wp14:editId="6DD57798">
              <wp:simplePos x="635" y="635"/>
              <wp:positionH relativeFrom="page">
                <wp:align>left</wp:align>
              </wp:positionH>
              <wp:positionV relativeFrom="page">
                <wp:align>top</wp:align>
              </wp:positionV>
              <wp:extent cx="443865" cy="443865"/>
              <wp:effectExtent l="0" t="0" r="10160" b="8890"/>
              <wp:wrapNone/>
              <wp:docPr id="140962481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7DAE3" w14:textId="6B451BD7"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8E5FE9" id="_x0000_t202" coordsize="21600,21600" o:spt="202" path="m,l,21600r21600,l21600,xe">
              <v:stroke joinstyle="miter"/>
              <v:path gradientshapeok="t" o:connecttype="rect"/>
            </v:shapetype>
            <v:shape id="Text Box 1" o:spid="_x0000_s1029"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067DAE3" w14:textId="6B451BD7" w:rsidR="001B7FE3" w:rsidRPr="001B7FE3" w:rsidRDefault="001B7FE3" w:rsidP="001B7FE3">
                    <w:pPr>
                      <w:spacing w:after="0"/>
                      <w:rPr>
                        <w:rFonts w:ascii="Calibri" w:eastAsia="Calibri" w:hAnsi="Calibri" w:cs="Calibri"/>
                        <w:noProof/>
                        <w:color w:val="000000"/>
                        <w:sz w:val="24"/>
                        <w:szCs w:val="24"/>
                      </w:rPr>
                    </w:pPr>
                    <w:r w:rsidRPr="001B7FE3">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0CEC"/>
    <w:multiLevelType w:val="hybridMultilevel"/>
    <w:tmpl w:val="B34E2CFA"/>
    <w:lvl w:ilvl="0" w:tplc="27EE28A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A35CB"/>
    <w:multiLevelType w:val="hybridMultilevel"/>
    <w:tmpl w:val="BF769BAA"/>
    <w:lvl w:ilvl="0" w:tplc="27EE28A4">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E83C4B"/>
    <w:multiLevelType w:val="hybridMultilevel"/>
    <w:tmpl w:val="043267B0"/>
    <w:lvl w:ilvl="0" w:tplc="C6C863D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EA53BE"/>
    <w:multiLevelType w:val="hybridMultilevel"/>
    <w:tmpl w:val="7F6CEB10"/>
    <w:lvl w:ilvl="0" w:tplc="3C6C84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D0B11"/>
    <w:multiLevelType w:val="hybridMultilevel"/>
    <w:tmpl w:val="9D9A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42B41"/>
    <w:multiLevelType w:val="hybridMultilevel"/>
    <w:tmpl w:val="263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81DEC"/>
    <w:multiLevelType w:val="hybridMultilevel"/>
    <w:tmpl w:val="ECC6303E"/>
    <w:lvl w:ilvl="0" w:tplc="1A64F4AA">
      <w:start w:val="1"/>
      <w:numFmt w:val="decimal"/>
      <w:lvlText w:val="%1."/>
      <w:lvlJc w:val="left"/>
      <w:pPr>
        <w:ind w:left="720" w:hanging="360"/>
      </w:pPr>
      <w:rPr>
        <w:rFonts w:ascii="Comic Sans MS" w:eastAsiaTheme="minorHAnsi" w:hAnsi="Comic Sans MS"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F153E"/>
    <w:multiLevelType w:val="hybridMultilevel"/>
    <w:tmpl w:val="474CB4DA"/>
    <w:lvl w:ilvl="0" w:tplc="F244AC22">
      <w:start w:val="3"/>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359099">
    <w:abstractNumId w:val="6"/>
  </w:num>
  <w:num w:numId="2" w16cid:durableId="1286040405">
    <w:abstractNumId w:val="1"/>
  </w:num>
  <w:num w:numId="3" w16cid:durableId="1901593170">
    <w:abstractNumId w:val="0"/>
  </w:num>
  <w:num w:numId="4" w16cid:durableId="2131632680">
    <w:abstractNumId w:val="3"/>
  </w:num>
  <w:num w:numId="5" w16cid:durableId="1116751722">
    <w:abstractNumId w:val="7"/>
  </w:num>
  <w:num w:numId="6" w16cid:durableId="1637176584">
    <w:abstractNumId w:val="2"/>
  </w:num>
  <w:num w:numId="7" w16cid:durableId="553128304">
    <w:abstractNumId w:val="5"/>
  </w:num>
  <w:num w:numId="8" w16cid:durableId="2151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33"/>
    <w:rsid w:val="00042847"/>
    <w:rsid w:val="001B7FE3"/>
    <w:rsid w:val="003A1578"/>
    <w:rsid w:val="003C1D24"/>
    <w:rsid w:val="0045714C"/>
    <w:rsid w:val="004A33E8"/>
    <w:rsid w:val="00550A04"/>
    <w:rsid w:val="00583317"/>
    <w:rsid w:val="005F08F0"/>
    <w:rsid w:val="0060537B"/>
    <w:rsid w:val="0068738A"/>
    <w:rsid w:val="00687E1C"/>
    <w:rsid w:val="006A3873"/>
    <w:rsid w:val="006F3A42"/>
    <w:rsid w:val="0076355F"/>
    <w:rsid w:val="00875AFD"/>
    <w:rsid w:val="008D1A33"/>
    <w:rsid w:val="008D363A"/>
    <w:rsid w:val="00907627"/>
    <w:rsid w:val="009312AB"/>
    <w:rsid w:val="009C031D"/>
    <w:rsid w:val="009C7E8A"/>
    <w:rsid w:val="00A7529B"/>
    <w:rsid w:val="00A75F10"/>
    <w:rsid w:val="00B737F8"/>
    <w:rsid w:val="00B82DFC"/>
    <w:rsid w:val="00BF4DA4"/>
    <w:rsid w:val="00C31CAC"/>
    <w:rsid w:val="00CD6AC2"/>
    <w:rsid w:val="00D74D6A"/>
    <w:rsid w:val="00EC6917"/>
    <w:rsid w:val="00EF51A9"/>
    <w:rsid w:val="00F13911"/>
    <w:rsid w:val="00F22B28"/>
    <w:rsid w:val="00FC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A5A7"/>
  <w15:chartTrackingRefBased/>
  <w15:docId w15:val="{9704A565-1DC8-4AD6-8746-6922D7C1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8D1A33"/>
    <w:pPr>
      <w:keepNext/>
      <w:overflowPunct w:val="0"/>
      <w:autoSpaceDE w:val="0"/>
      <w:autoSpaceDN w:val="0"/>
      <w:adjustRightInd w:val="0"/>
      <w:spacing w:after="0" w:line="240" w:lineRule="auto"/>
      <w:ind w:left="465"/>
      <w:jc w:val="center"/>
      <w:textAlignment w:val="baseline"/>
    </w:pPr>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5F08F0"/>
    <w:pPr>
      <w:ind w:left="720"/>
      <w:contextualSpacing/>
    </w:pPr>
  </w:style>
  <w:style w:type="paragraph" w:styleId="NormalWeb">
    <w:name w:val="Normal (Web)"/>
    <w:basedOn w:val="Normal"/>
    <w:uiPriority w:val="99"/>
    <w:semiHidden/>
    <w:unhideWhenUsed/>
    <w:rsid w:val="005F08F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31D"/>
    <w:rPr>
      <w:color w:val="0563C1" w:themeColor="hyperlink"/>
      <w:u w:val="single"/>
    </w:rPr>
  </w:style>
  <w:style w:type="character" w:customStyle="1" w:styleId="UnresolvedMention1">
    <w:name w:val="Unresolved Mention1"/>
    <w:basedOn w:val="DefaultParagraphFont"/>
    <w:uiPriority w:val="99"/>
    <w:semiHidden/>
    <w:unhideWhenUsed/>
    <w:rsid w:val="006A3873"/>
    <w:rPr>
      <w:color w:val="605E5C"/>
      <w:shd w:val="clear" w:color="auto" w:fill="E1DFDD"/>
    </w:rPr>
  </w:style>
  <w:style w:type="paragraph" w:styleId="Header">
    <w:name w:val="header"/>
    <w:basedOn w:val="Normal"/>
    <w:link w:val="HeaderChar"/>
    <w:uiPriority w:val="99"/>
    <w:unhideWhenUsed/>
    <w:rsid w:val="001B7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ec.org/wp-content/uploads/2019/07/Hackett-Continuum-of-Harmful-Behavior-Excerpted.pdf" TargetMode="External"/><Relationship Id="rId13" Type="http://schemas.openxmlformats.org/officeDocument/2006/relationships/hyperlink" Target="https://www.brook.org.uk/education/sexual-behaviours-traffic-light-tool/" TargetMode="External"/><Relationship Id="rId18" Type="http://schemas.openxmlformats.org/officeDocument/2006/relationships/hyperlink" Target="https://shorespace.org.uk/"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learning.nspcc.org.uk/child-abuse-and-neglect/harmful-sexual-behaviour" TargetMode="External"/><Relationship Id="rId17" Type="http://schemas.openxmlformats.org/officeDocument/2006/relationships/hyperlink" Target="file:///C:\Users\bilslande\AppData\Local\Microsoft\Windows\INetCache\Content.Outlook\HJVLOY67\LFF%20ELEC%20Resource%20Pack%20for%20Parents_MAY21.pdf" TargetMode="External"/><Relationship Id="rId2" Type="http://schemas.openxmlformats.org/officeDocument/2006/relationships/styles" Target="styles.xml"/><Relationship Id="rId16" Type="http://schemas.openxmlformats.org/officeDocument/2006/relationships/hyperlink" Target="https://www.gov.scot/publications/expert-group-preventing-sexual-offending-involving-children-young-people-prevention-responses-harmful-sexual-behaviour-children-young-peopl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rma.scot/resource/standards-guideline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sacentre.org.uk/resources/key-messages/harmful-sexual-behaviour/" TargetMode="External"/><Relationship Id="rId14"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Mitchell</dc:creator>
  <cp:keywords/>
  <dc:description/>
  <cp:lastModifiedBy>Clare Fallone</cp:lastModifiedBy>
  <cp:revision>5</cp:revision>
  <dcterms:created xsi:type="dcterms:W3CDTF">2023-06-06T09:17:00Z</dcterms:created>
  <dcterms:modified xsi:type="dcterms:W3CDTF">2023-09-26T08:20:00Z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54052aeb,17cab0f3,d18495f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2023-08-29T13:22:25Z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5dcf10e6-7a50-42d1-be42-a90664b2d6a2</vt:lpwstr>
  </property>
  <property fmtid="{D5CDD505-2E9C-101B-9397-08002B2CF9AE}" pid="11" name="MSIP_Label_ed63e432-7a5b-4534-ada9-2e736aca8ba4_ContentBits">
    <vt:lpwstr>1</vt:lpwstr>
  </property>
</Properties>
</file>