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F7CCA" w14:textId="77777777">
      <w:pPr>
        <w:pStyle w:val="Default"/>
      </w:pPr>
      <w:r>
        <w:tab/>
      </w:r>
      <w:r>
        <w:tab/>
      </w:r>
      <w:r>
        <w:tab/>
      </w:r>
      <w:r>
        <w:tab/>
      </w:r>
      <w:r>
        <w:tab/>
      </w:r>
      <w:r>
        <w:tab/>
      </w:r>
      <w:r>
        <w:tab/>
      </w:r>
      <w:r>
        <w:rPr>
          <w:noProof/>
          <w:lang w:eastAsia="en-GB"/>
        </w:rPr>
        <w:drawing>
          <wp:inline distT="0" distB="0" distL="0" distR="0" wp14:anchorId="05295973" wp14:editId="5DE081E5">
            <wp:extent cx="2346325" cy="1095375"/>
            <wp:effectExtent l="0" t="0" r="0" b="9525"/>
            <wp:docPr id="4"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6325" cy="1095375"/>
                    </a:xfrm>
                    <a:prstGeom prst="rect">
                      <a:avLst/>
                    </a:prstGeom>
                    <a:noFill/>
                    <a:ln>
                      <a:noFill/>
                    </a:ln>
                  </pic:spPr>
                </pic:pic>
              </a:graphicData>
            </a:graphic>
          </wp:inline>
        </w:drawing>
      </w:r>
    </w:p>
    <w:p w14:paraId="31632D19" w14:textId="77777777">
      <w:pPr>
        <w:pStyle w:val="Default"/>
        <w:rPr>
          <w:b/>
        </w:rPr>
      </w:pPr>
      <w:r>
        <w:rPr>
          <w:b/>
        </w:rPr>
        <w:t xml:space="preserve">Energy Company Obligation – Flexible Eligibility </w:t>
      </w:r>
    </w:p>
    <w:p w14:paraId="44C5D825" w14:textId="77777777">
      <w:pPr>
        <w:pStyle w:val="Default"/>
        <w:rPr>
          <w:b/>
        </w:rPr>
      </w:pPr>
      <w:r>
        <w:rPr>
          <w:b/>
        </w:rPr>
        <w:t>Statement of Intent</w:t>
      </w:r>
    </w:p>
    <w:p w14:paraId="7501E8E4" w14:textId="77777777">
      <w:pPr>
        <w:pStyle w:val="Default"/>
        <w:rPr>
          <w:b/>
        </w:rPr>
      </w:pPr>
    </w:p>
    <w:tbl>
      <w:tblPr>
        <w:tblStyle w:val="TableGrid"/>
        <w:tblW w:w="0" w:type="auto"/>
        <w:tblLayout w:type="fixed"/>
        <w:tblLook w:val="0000" w:firstRow="0" w:lastRow="0" w:firstColumn="0" w:lastColumn="0" w:noHBand="0" w:noVBand="0"/>
      </w:tblPr>
      <w:tblGrid>
        <w:gridCol w:w="3554"/>
        <w:gridCol w:w="3554"/>
      </w:tblGrid>
      <w:tr w14:paraId="55A63D4E" w14:textId="77777777">
        <w:trPr>
          <w:trHeight w:val="103"/>
        </w:trPr>
        <w:tc>
          <w:tcPr>
            <w:tcW w:w="3554" w:type="dxa"/>
          </w:tcPr>
          <w:p w14:paraId="655070C8" w14:textId="77777777">
            <w:pPr>
              <w:pStyle w:val="Default"/>
            </w:pPr>
            <w:r>
              <w:t xml:space="preserve">Local Authority </w:t>
            </w:r>
          </w:p>
        </w:tc>
        <w:tc>
          <w:tcPr>
            <w:tcW w:w="3554" w:type="dxa"/>
          </w:tcPr>
          <w:p w14:paraId="5A038F88" w14:textId="77777777">
            <w:pPr>
              <w:pStyle w:val="Default"/>
            </w:pPr>
            <w:r>
              <w:t xml:space="preserve">Inverclyde Council </w:t>
            </w:r>
          </w:p>
        </w:tc>
      </w:tr>
      <w:tr w14:paraId="7F655395" w14:textId="77777777">
        <w:trPr>
          <w:trHeight w:val="248"/>
        </w:trPr>
        <w:tc>
          <w:tcPr>
            <w:tcW w:w="3554" w:type="dxa"/>
          </w:tcPr>
          <w:p w14:paraId="658ABE90" w14:textId="77777777">
            <w:pPr>
              <w:pStyle w:val="Default"/>
            </w:pPr>
            <w:r>
              <w:t>Delivery Partner</w:t>
            </w:r>
          </w:p>
        </w:tc>
        <w:tc>
          <w:tcPr>
            <w:tcW w:w="3554" w:type="dxa"/>
          </w:tcPr>
          <w:p w14:paraId="16BD835D" w14:textId="77777777">
            <w:pPr>
              <w:pStyle w:val="Default"/>
            </w:pPr>
            <w:r>
              <w:t>The Wise Group</w:t>
            </w:r>
          </w:p>
        </w:tc>
      </w:tr>
      <w:tr w14:paraId="6CA69B84" w14:textId="77777777">
        <w:trPr>
          <w:trHeight w:val="124"/>
        </w:trPr>
        <w:tc>
          <w:tcPr>
            <w:tcW w:w="3554" w:type="dxa"/>
          </w:tcPr>
          <w:p w14:paraId="6D44824C" w14:textId="77777777">
            <w:pPr>
              <w:pStyle w:val="Default"/>
            </w:pPr>
            <w:r>
              <w:t xml:space="preserve">Date of publication </w:t>
            </w:r>
          </w:p>
        </w:tc>
        <w:tc>
          <w:tcPr>
            <w:tcW w:w="3554" w:type="dxa"/>
          </w:tcPr>
          <w:p w14:paraId="78479185" w14:textId="77777777">
            <w:pPr>
              <w:pStyle w:val="Default"/>
            </w:pPr>
            <w:r>
              <w:t>May 2021</w:t>
            </w:r>
          </w:p>
        </w:tc>
      </w:tr>
      <w:tr w14:paraId="77D676F5" w14:textId="77777777">
        <w:trPr>
          <w:trHeight w:val="124"/>
        </w:trPr>
        <w:tc>
          <w:tcPr>
            <w:tcW w:w="3554" w:type="dxa"/>
          </w:tcPr>
          <w:p w14:paraId="4EA90F10" w14:textId="77777777">
            <w:pPr>
              <w:pStyle w:val="Default"/>
            </w:pPr>
            <w:r>
              <w:t xml:space="preserve">Publication on website </w:t>
            </w:r>
          </w:p>
        </w:tc>
        <w:tc>
          <w:tcPr>
            <w:tcW w:w="3554" w:type="dxa"/>
          </w:tcPr>
          <w:p w14:paraId="46B3B93F" w14:textId="77777777">
            <w:pPr>
              <w:pStyle w:val="Default"/>
            </w:pPr>
            <w:r>
              <w:t>May 2021</w:t>
            </w:r>
          </w:p>
        </w:tc>
      </w:tr>
      <w:tr w14:paraId="3D974275" w14:textId="77777777">
        <w:trPr>
          <w:trHeight w:val="124"/>
        </w:trPr>
        <w:tc>
          <w:tcPr>
            <w:tcW w:w="3554" w:type="dxa"/>
          </w:tcPr>
          <w:p w14:paraId="799E835F" w14:textId="77777777">
            <w:pPr>
              <w:pStyle w:val="Default"/>
            </w:pPr>
            <w:r>
              <w:t>Version</w:t>
            </w:r>
          </w:p>
        </w:tc>
        <w:tc>
          <w:tcPr>
            <w:tcW w:w="3554" w:type="dxa"/>
          </w:tcPr>
          <w:p w14:paraId="5122C2C8" w14:textId="77777777">
            <w:pPr>
              <w:pStyle w:val="Default"/>
            </w:pPr>
            <w:r>
              <w:t xml:space="preserve">S120000018/002 –Energy Company Obligation </w:t>
            </w:r>
            <w:proofErr w:type="gramStart"/>
            <w:r>
              <w:t>-  ECO</w:t>
            </w:r>
            <w:proofErr w:type="gramEnd"/>
            <w:r>
              <w:t xml:space="preserve"> 3 Order</w:t>
            </w:r>
          </w:p>
        </w:tc>
      </w:tr>
    </w:tbl>
    <w:p w14:paraId="6EDD4723" w14:textId="77777777">
      <w:pPr>
        <w:pStyle w:val="Default"/>
      </w:pPr>
    </w:p>
    <w:p w14:paraId="39FEF23E" w14:textId="77777777">
      <w:pPr>
        <w:pStyle w:val="Default"/>
        <w:rPr>
          <w:rStyle w:val="Hyperlink"/>
        </w:rPr>
      </w:pPr>
      <w:hyperlink r:id="rId9" w:history="1">
        <w:r>
          <w:rPr>
            <w:rStyle w:val="Hyperlink"/>
          </w:rPr>
          <w:t>https://www.inverclyde.gov.uk/housing</w:t>
        </w:r>
      </w:hyperlink>
    </w:p>
    <w:p w14:paraId="049FF6FD" w14:textId="77777777">
      <w:pPr>
        <w:pStyle w:val="Default"/>
      </w:pPr>
    </w:p>
    <w:p w14:paraId="07D2FFCF" w14:textId="77777777">
      <w:pPr>
        <w:pStyle w:val="Default"/>
        <w:numPr>
          <w:ilvl w:val="0"/>
          <w:numId w:val="2"/>
        </w:numPr>
        <w:rPr>
          <w:b/>
          <w:bCs/>
        </w:rPr>
      </w:pPr>
      <w:r>
        <w:rPr>
          <w:b/>
          <w:bCs/>
        </w:rPr>
        <w:t xml:space="preserve">Introduction </w:t>
      </w:r>
    </w:p>
    <w:p w14:paraId="44AC6F02" w14:textId="77777777">
      <w:pPr>
        <w:pStyle w:val="Default"/>
        <w:ind w:left="360"/>
      </w:pPr>
    </w:p>
    <w:p w14:paraId="262B6C28" w14:textId="77777777">
      <w:pPr>
        <w:ind w:left="720" w:hanging="720"/>
        <w:jc w:val="both"/>
        <w:rPr>
          <w:rFonts w:ascii="Arial" w:hAnsi="Arial" w:cs="Arial"/>
          <w:sz w:val="24"/>
          <w:szCs w:val="24"/>
        </w:rPr>
      </w:pPr>
      <w:r>
        <w:rPr>
          <w:rFonts w:ascii="Arial" w:hAnsi="Arial" w:cs="Arial"/>
          <w:sz w:val="24"/>
          <w:szCs w:val="24"/>
        </w:rPr>
        <w:t>1.1</w:t>
      </w:r>
      <w:r>
        <w:rPr>
          <w:rFonts w:ascii="Arial" w:hAnsi="Arial" w:cs="Arial"/>
          <w:sz w:val="24"/>
          <w:szCs w:val="24"/>
        </w:rPr>
        <w:tab/>
        <w:t xml:space="preserve">The department for Business, </w:t>
      </w:r>
      <w:proofErr w:type="gramStart"/>
      <w:r>
        <w:rPr>
          <w:rFonts w:ascii="Arial" w:hAnsi="Arial" w:cs="Arial"/>
          <w:sz w:val="24"/>
          <w:szCs w:val="24"/>
        </w:rPr>
        <w:t>Energy</w:t>
      </w:r>
      <w:proofErr w:type="gramEnd"/>
      <w:r>
        <w:rPr>
          <w:rFonts w:ascii="Arial" w:hAnsi="Arial" w:cs="Arial"/>
          <w:sz w:val="24"/>
          <w:szCs w:val="24"/>
        </w:rPr>
        <w:t xml:space="preserve"> and Industrial Strategy (BEIS) BEIS have set out an opportunity for Local Authorities (LA’s) to engage with energy suppliers on how suppliers can meet their obligations to install energy efficiency measures in homes under the Energy Company Obligation 3 (ECO 3).  ECO 3 is an obligation on energy suppliers aimed at helping households cut their energy bills and reduce carbon emissions by installing energy saving </w:t>
      </w:r>
      <w:proofErr w:type="gramStart"/>
      <w:r>
        <w:rPr>
          <w:rFonts w:ascii="Arial" w:hAnsi="Arial" w:cs="Arial"/>
          <w:sz w:val="24"/>
          <w:szCs w:val="24"/>
        </w:rPr>
        <w:t>measures</w:t>
      </w:r>
      <w:proofErr w:type="gramEnd"/>
    </w:p>
    <w:p w14:paraId="6AE0F87F" w14:textId="77777777">
      <w:pPr>
        <w:pStyle w:val="Default"/>
        <w:ind w:left="720" w:hanging="720"/>
        <w:jc w:val="both"/>
      </w:pPr>
      <w:r>
        <w:t>1.2</w:t>
      </w:r>
      <w:r>
        <w:tab/>
        <w:t>Inverclyde Council is committed through the Local Housing Strategy (LHS) to tackling fuel poverty and is adopting the Flexible ECO Eligibility Policy, this will allow Flexible ECO Affordable Warmth funding for energy efficiency works to be made available to those residents living in private sector housing with the highest level of need, targeting households living in fuel poverty or who are living on a low income and are vulnerable to the effects of a cold home. Flexible ECO is only available to support residents living in private sector housing.</w:t>
      </w:r>
    </w:p>
    <w:p w14:paraId="53AA024B" w14:textId="77777777">
      <w:pPr>
        <w:pStyle w:val="Default"/>
        <w:jc w:val="both"/>
      </w:pPr>
    </w:p>
    <w:p w14:paraId="3C26CF4A" w14:textId="77777777">
      <w:pPr>
        <w:spacing w:after="120"/>
        <w:ind w:left="720"/>
        <w:jc w:val="both"/>
        <w:rPr>
          <w:rFonts w:ascii="Arial" w:hAnsi="Arial" w:cs="Arial"/>
          <w:sz w:val="24"/>
          <w:szCs w:val="24"/>
        </w:rPr>
      </w:pPr>
      <w:r>
        <w:rPr>
          <w:rFonts w:ascii="Arial" w:hAnsi="Arial" w:cs="Arial"/>
          <w:sz w:val="24"/>
          <w:szCs w:val="24"/>
        </w:rPr>
        <w:t xml:space="preserve">A household is described as living in fuel poverty if they are required to spend more than 10% of the household income on fuel, more than 20% of disposable income equates to extreme fuel poverty.  </w:t>
      </w:r>
    </w:p>
    <w:p w14:paraId="37EB0DC5" w14:textId="77777777">
      <w:pPr>
        <w:spacing w:after="120"/>
        <w:ind w:left="720"/>
        <w:jc w:val="both"/>
        <w:rPr>
          <w:rFonts w:ascii="Arial" w:hAnsi="Arial" w:cs="Arial"/>
          <w:sz w:val="24"/>
          <w:szCs w:val="24"/>
        </w:rPr>
      </w:pPr>
      <w:r>
        <w:rPr>
          <w:rFonts w:ascii="Arial" w:hAnsi="Arial" w:cs="Arial"/>
          <w:sz w:val="24"/>
          <w:szCs w:val="24"/>
        </w:rPr>
        <w:t xml:space="preserve">There are approximately 15,800 (43%) households in fuel poverty across Inverclyde and of those 2,100 (6%) are in extreme fuel poverty. Families are the second most affected group with 35% of households in fuel poverty. </w:t>
      </w:r>
      <w:proofErr w:type="gramStart"/>
      <w:r>
        <w:rPr>
          <w:rFonts w:ascii="Arial" w:hAnsi="Arial" w:cs="Arial"/>
          <w:sz w:val="24"/>
          <w:szCs w:val="24"/>
        </w:rPr>
        <w:t>Overall</w:t>
      </w:r>
      <w:proofErr w:type="gramEnd"/>
      <w:r>
        <w:rPr>
          <w:rFonts w:ascii="Arial" w:hAnsi="Arial" w:cs="Arial"/>
          <w:sz w:val="24"/>
          <w:szCs w:val="24"/>
        </w:rPr>
        <w:t xml:space="preserve"> around 30% of adult only households experience fuel poverty</w:t>
      </w:r>
      <w:r>
        <w:rPr>
          <w:rStyle w:val="FootnoteReference"/>
          <w:rFonts w:ascii="Arial" w:hAnsi="Arial" w:cs="Arial"/>
          <w:sz w:val="24"/>
          <w:szCs w:val="24"/>
        </w:rPr>
        <w:footnoteReference w:id="1"/>
      </w:r>
      <w:r>
        <w:rPr>
          <w:rFonts w:ascii="Arial" w:hAnsi="Arial" w:cs="Arial"/>
          <w:sz w:val="24"/>
          <w:szCs w:val="24"/>
        </w:rPr>
        <w:t>.  Inverclyde have the 2nd greatest proportion of deprived households in Scotland with 44% of the data zones being within the lowest 20% of Scottish Index of Multiple Deprivation (SIMD)</w:t>
      </w:r>
      <w:r>
        <w:rPr>
          <w:rStyle w:val="FootnoteReference"/>
          <w:rFonts w:ascii="Arial" w:hAnsi="Arial" w:cs="Arial"/>
          <w:sz w:val="24"/>
          <w:szCs w:val="24"/>
        </w:rPr>
        <w:footnoteReference w:id="2"/>
      </w:r>
      <w:r>
        <w:rPr>
          <w:rFonts w:ascii="Arial" w:hAnsi="Arial" w:cs="Arial"/>
          <w:sz w:val="24"/>
          <w:szCs w:val="24"/>
        </w:rPr>
        <w:t xml:space="preserve">.  </w:t>
      </w:r>
    </w:p>
    <w:p w14:paraId="4F7C07C5" w14:textId="77777777">
      <w:pPr>
        <w:spacing w:after="120"/>
        <w:ind w:left="720" w:hanging="654"/>
        <w:jc w:val="both"/>
        <w:rPr>
          <w:rFonts w:ascii="Arial" w:hAnsi="Arial" w:cs="Arial"/>
          <w:sz w:val="24"/>
          <w:szCs w:val="24"/>
        </w:rPr>
      </w:pPr>
      <w:r>
        <w:rPr>
          <w:rFonts w:ascii="Arial" w:hAnsi="Arial" w:cs="Arial"/>
          <w:sz w:val="24"/>
          <w:szCs w:val="24"/>
        </w:rPr>
        <w:lastRenderedPageBreak/>
        <w:t xml:space="preserve">1.3 </w:t>
      </w:r>
      <w:r>
        <w:rPr>
          <w:rFonts w:ascii="Arial" w:hAnsi="Arial" w:cs="Arial"/>
          <w:sz w:val="24"/>
          <w:szCs w:val="24"/>
        </w:rPr>
        <w:tab/>
        <w:t>All energy efficiency works qualifying for Flexible ECO Eligibility Affordable Warmth funding will be delivered through our referral network and existing energy efficiency schemes.</w:t>
      </w:r>
    </w:p>
    <w:p w14:paraId="6442FC29" w14:textId="77777777">
      <w:pPr>
        <w:pStyle w:val="Default"/>
        <w:jc w:val="both"/>
      </w:pPr>
      <w:r>
        <w:t xml:space="preserve"> </w:t>
      </w:r>
    </w:p>
    <w:p w14:paraId="78D0AACD" w14:textId="77777777">
      <w:pPr>
        <w:pStyle w:val="Default"/>
        <w:ind w:left="720"/>
        <w:jc w:val="both"/>
      </w:pPr>
      <w:r>
        <w:t xml:space="preserve">The Council will declare households as eligible for funding based on the criteria outlined in section two. The final decision on whether any individual household can benefit from energy saving improvements under Flexible ECO Eligibility Affordable Warmth funding will be made by the obligated suppliers or their agents/contractors. Although a household may be declared to be eligible the final decision will be </w:t>
      </w:r>
      <w:proofErr w:type="gramStart"/>
      <w:r>
        <w:t>depend</w:t>
      </w:r>
      <w:proofErr w:type="gramEnd"/>
      <w:r>
        <w:t xml:space="preserve"> upon: </w:t>
      </w:r>
    </w:p>
    <w:p w14:paraId="7835689D" w14:textId="77777777">
      <w:pPr>
        <w:pStyle w:val="Default"/>
        <w:ind w:left="360"/>
        <w:jc w:val="both"/>
      </w:pPr>
    </w:p>
    <w:p w14:paraId="33FB4FD7" w14:textId="77777777">
      <w:pPr>
        <w:pStyle w:val="Default"/>
        <w:numPr>
          <w:ilvl w:val="0"/>
          <w:numId w:val="4"/>
        </w:numPr>
        <w:ind w:left="1080"/>
        <w:jc w:val="both"/>
      </w:pPr>
      <w:r>
        <w:t xml:space="preserve">The survey carried out by </w:t>
      </w:r>
      <w:proofErr w:type="gramStart"/>
      <w:r>
        <w:t>suppliers</w:t>
      </w:r>
      <w:proofErr w:type="gramEnd"/>
      <w:r>
        <w:t xml:space="preserve"> agents/contractors and installation costs calculated,</w:t>
      </w:r>
    </w:p>
    <w:p w14:paraId="4B32A7DF" w14:textId="77777777">
      <w:pPr>
        <w:pStyle w:val="Default"/>
        <w:numPr>
          <w:ilvl w:val="0"/>
          <w:numId w:val="4"/>
        </w:numPr>
        <w:ind w:left="1080"/>
        <w:jc w:val="both"/>
      </w:pPr>
      <w:r>
        <w:t>The energy savings that can be achieved for a property, and</w:t>
      </w:r>
    </w:p>
    <w:p w14:paraId="715EFBC3" w14:textId="77777777">
      <w:pPr>
        <w:pStyle w:val="Default"/>
        <w:numPr>
          <w:ilvl w:val="0"/>
          <w:numId w:val="4"/>
        </w:numPr>
        <w:ind w:left="1080"/>
        <w:jc w:val="both"/>
      </w:pPr>
      <w:r>
        <w:t xml:space="preserve">Whether suppliers have achieved their targets or require further measures to meet their Affordable Warmth targets. </w:t>
      </w:r>
    </w:p>
    <w:p w14:paraId="63ED5B4D" w14:textId="77777777">
      <w:pPr>
        <w:pStyle w:val="Default"/>
        <w:jc w:val="both"/>
        <w:rPr>
          <w:b/>
          <w:bCs/>
        </w:rPr>
      </w:pPr>
    </w:p>
    <w:p w14:paraId="23D495BB" w14:textId="77777777">
      <w:pPr>
        <w:pStyle w:val="Default"/>
        <w:jc w:val="both"/>
        <w:rPr>
          <w:b/>
          <w:bCs/>
        </w:rPr>
      </w:pPr>
    </w:p>
    <w:p w14:paraId="2D80EAF8" w14:textId="77777777">
      <w:pPr>
        <w:pStyle w:val="Default"/>
        <w:jc w:val="both"/>
      </w:pPr>
      <w:r>
        <w:rPr>
          <w:b/>
          <w:bCs/>
        </w:rPr>
        <w:t>2. Identification of Eligible Households</w:t>
      </w:r>
    </w:p>
    <w:p w14:paraId="45C3033C" w14:textId="77777777">
      <w:pPr>
        <w:pStyle w:val="Default"/>
        <w:jc w:val="both"/>
      </w:pPr>
    </w:p>
    <w:p w14:paraId="655FF826" w14:textId="77777777">
      <w:pPr>
        <w:ind w:left="720" w:hanging="720"/>
        <w:jc w:val="both"/>
        <w:rPr>
          <w:rFonts w:ascii="Arial" w:hAnsi="Arial" w:cs="Arial"/>
          <w:color w:val="000000"/>
          <w:sz w:val="24"/>
          <w:szCs w:val="24"/>
        </w:rPr>
      </w:pPr>
      <w:r>
        <w:rPr>
          <w:rFonts w:ascii="Arial" w:hAnsi="Arial" w:cs="Arial"/>
          <w:color w:val="000000"/>
          <w:sz w:val="24"/>
          <w:szCs w:val="24"/>
        </w:rPr>
        <w:t>2.1</w:t>
      </w:r>
      <w:r>
        <w:rPr>
          <w:rFonts w:ascii="Arial" w:hAnsi="Arial" w:cs="Arial"/>
          <w:color w:val="000000"/>
          <w:sz w:val="24"/>
          <w:szCs w:val="24"/>
        </w:rPr>
        <w:tab/>
        <w:t>Private sector households are considered eligible for Flexible ECO Affordable Warmth funding if they are:</w:t>
      </w:r>
    </w:p>
    <w:p w14:paraId="2DBFC477" w14:textId="77777777">
      <w:pPr>
        <w:ind w:left="720"/>
        <w:jc w:val="both"/>
        <w:rPr>
          <w:rFonts w:ascii="Arial" w:hAnsi="Arial" w:cs="Arial"/>
          <w:b/>
          <w:color w:val="000000"/>
          <w:sz w:val="24"/>
          <w:szCs w:val="24"/>
        </w:rPr>
      </w:pPr>
      <w:r>
        <w:rPr>
          <w:rFonts w:ascii="Arial" w:hAnsi="Arial" w:cs="Arial"/>
          <w:b/>
          <w:color w:val="000000"/>
          <w:sz w:val="24"/>
          <w:szCs w:val="24"/>
        </w:rPr>
        <w:t xml:space="preserve">1.  at risk of living in fuel poverty or (Route 1) </w:t>
      </w:r>
    </w:p>
    <w:p w14:paraId="30E0C9F8" w14:textId="77777777">
      <w:pPr>
        <w:ind w:firstLine="720"/>
        <w:jc w:val="both"/>
        <w:rPr>
          <w:rFonts w:ascii="Arial" w:hAnsi="Arial" w:cs="Arial"/>
          <w:b/>
          <w:color w:val="000000"/>
          <w:sz w:val="24"/>
          <w:szCs w:val="24"/>
        </w:rPr>
      </w:pPr>
      <w:r>
        <w:rPr>
          <w:rFonts w:ascii="Arial" w:hAnsi="Arial" w:cs="Arial"/>
          <w:b/>
          <w:color w:val="000000"/>
          <w:sz w:val="24"/>
          <w:szCs w:val="24"/>
        </w:rPr>
        <w:t xml:space="preserve">2. a low income household with at least one household member             </w:t>
      </w:r>
      <w:proofErr w:type="gramStart"/>
      <w:r>
        <w:rPr>
          <w:rFonts w:ascii="Arial" w:hAnsi="Arial" w:cs="Arial"/>
          <w:b/>
          <w:color w:val="000000"/>
          <w:sz w:val="24"/>
          <w:szCs w:val="24"/>
        </w:rPr>
        <w:tab/>
        <w:t xml:space="preserve">  vulnerable</w:t>
      </w:r>
      <w:proofErr w:type="gramEnd"/>
      <w:r>
        <w:rPr>
          <w:rFonts w:ascii="Arial" w:hAnsi="Arial" w:cs="Arial"/>
          <w:b/>
          <w:color w:val="000000"/>
          <w:sz w:val="24"/>
          <w:szCs w:val="24"/>
        </w:rPr>
        <w:t xml:space="preserve"> to the effects of living in a cold home (LIVC). (Route 2) </w:t>
      </w:r>
    </w:p>
    <w:p w14:paraId="3AB10689" w14:textId="77777777">
      <w:pPr>
        <w:pStyle w:val="Default"/>
        <w:ind w:left="720"/>
        <w:jc w:val="both"/>
      </w:pPr>
      <w:r>
        <w:t>The Council will consider eligibility in line with the Government’s policy and guidance published by BEIS, “Energy Company Obligation (ECO 3) Guidance: Delivery Version 1.1 published December 2018.  It should be noted that Eligibility does not guarantee funding.</w:t>
      </w:r>
    </w:p>
    <w:p w14:paraId="34548EA3" w14:textId="77777777">
      <w:pPr>
        <w:spacing w:after="160" w:line="259" w:lineRule="auto"/>
        <w:jc w:val="both"/>
        <w:rPr>
          <w:rFonts w:ascii="Arial" w:hAnsi="Arial" w:cs="Arial"/>
          <w:b/>
          <w:color w:val="000000"/>
          <w:sz w:val="24"/>
          <w:szCs w:val="24"/>
        </w:rPr>
      </w:pPr>
    </w:p>
    <w:p w14:paraId="2AF0C707" w14:textId="77777777">
      <w:pPr>
        <w:spacing w:after="160" w:line="259" w:lineRule="auto"/>
        <w:jc w:val="both"/>
        <w:rPr>
          <w:rFonts w:ascii="Arial" w:hAnsi="Arial" w:cs="Arial"/>
          <w:b/>
          <w:color w:val="000000"/>
          <w:sz w:val="24"/>
          <w:szCs w:val="24"/>
        </w:rPr>
      </w:pPr>
      <w:r>
        <w:rPr>
          <w:rFonts w:ascii="Arial" w:hAnsi="Arial" w:cs="Arial"/>
          <w:color w:val="000000"/>
          <w:sz w:val="24"/>
          <w:szCs w:val="24"/>
        </w:rPr>
        <w:t>2.2</w:t>
      </w:r>
      <w:r>
        <w:rPr>
          <w:rFonts w:ascii="Arial" w:hAnsi="Arial" w:cs="Arial"/>
          <w:b/>
          <w:color w:val="000000"/>
          <w:sz w:val="24"/>
          <w:szCs w:val="24"/>
        </w:rPr>
        <w:tab/>
        <w:t xml:space="preserve">Route 1 </w:t>
      </w:r>
    </w:p>
    <w:p w14:paraId="721019C7" w14:textId="77777777">
      <w:pPr>
        <w:spacing w:after="160" w:line="259" w:lineRule="auto"/>
        <w:ind w:firstLine="720"/>
        <w:jc w:val="both"/>
        <w:rPr>
          <w:rFonts w:ascii="Arial" w:hAnsi="Arial" w:cs="Arial"/>
          <w:b/>
          <w:color w:val="000000"/>
          <w:sz w:val="24"/>
          <w:szCs w:val="24"/>
        </w:rPr>
      </w:pPr>
      <w:r>
        <w:rPr>
          <w:rFonts w:ascii="Arial" w:hAnsi="Arial" w:cs="Arial"/>
          <w:b/>
          <w:color w:val="000000"/>
          <w:sz w:val="24"/>
          <w:szCs w:val="24"/>
        </w:rPr>
        <w:t>At Risk of Living in Fuel Poverty</w:t>
      </w:r>
    </w:p>
    <w:p w14:paraId="6EB9D702" w14:textId="77777777">
      <w:pPr>
        <w:pStyle w:val="Default"/>
        <w:ind w:left="720"/>
        <w:jc w:val="both"/>
      </w:pPr>
    </w:p>
    <w:p w14:paraId="6A7A6155" w14:textId="77777777">
      <w:pPr>
        <w:pStyle w:val="Default"/>
        <w:ind w:left="720"/>
        <w:jc w:val="both"/>
      </w:pPr>
      <w:r>
        <w:t xml:space="preserve">Fuel poor eligible households will be identified as those that have an income less than the Scottish median gross weekly </w:t>
      </w:r>
      <w:proofErr w:type="gramStart"/>
      <w:r>
        <w:t>full time</w:t>
      </w:r>
      <w:proofErr w:type="gramEnd"/>
      <w:r>
        <w:t xml:space="preserve"> earnings of </w:t>
      </w:r>
      <w:r>
        <w:rPr>
          <w:rFonts w:ascii="Verdana" w:hAnsi="Verdana"/>
        </w:rPr>
        <w:t>£</w:t>
      </w:r>
      <w:r>
        <w:rPr>
          <w:szCs w:val="20"/>
        </w:rPr>
        <w:t xml:space="preserve">£31,977 </w:t>
      </w:r>
      <w:r>
        <w:rPr>
          <w:rStyle w:val="FootnoteReference"/>
          <w:color w:val="auto"/>
        </w:rPr>
        <w:t>3</w:t>
      </w:r>
      <w:r>
        <w:t xml:space="preserve">  </w:t>
      </w:r>
    </w:p>
    <w:p w14:paraId="73F4F296" w14:textId="77777777">
      <w:pPr>
        <w:pStyle w:val="Default"/>
        <w:ind w:left="720"/>
        <w:jc w:val="both"/>
      </w:pPr>
      <w:r>
        <w:t xml:space="preserve"> or is in receipt of pension credit savings/guarantee element and one of the following:</w:t>
      </w:r>
    </w:p>
    <w:p w14:paraId="170B563C" w14:textId="77777777">
      <w:pPr>
        <w:pStyle w:val="Default"/>
        <w:ind w:left="720"/>
        <w:jc w:val="both"/>
      </w:pPr>
    </w:p>
    <w:p w14:paraId="28F80B73" w14:textId="77777777">
      <w:pPr>
        <w:pStyle w:val="ListParagraph"/>
        <w:numPr>
          <w:ilvl w:val="0"/>
          <w:numId w:val="31"/>
        </w:numPr>
        <w:spacing w:after="160" w:line="259" w:lineRule="auto"/>
        <w:ind w:left="1080"/>
        <w:jc w:val="both"/>
        <w:rPr>
          <w:rFonts w:ascii="Arial" w:hAnsi="Arial" w:cs="Arial"/>
          <w:color w:val="000000"/>
          <w:sz w:val="24"/>
          <w:szCs w:val="24"/>
        </w:rPr>
      </w:pPr>
      <w:r>
        <w:rPr>
          <w:rFonts w:ascii="Arial" w:hAnsi="Arial" w:cs="Arial"/>
          <w:color w:val="000000"/>
          <w:sz w:val="24"/>
          <w:szCs w:val="24"/>
        </w:rPr>
        <w:t xml:space="preserve">The property is occupied for long periods due to the presence of householders who are unemployed, disabled, instructing to shield due to </w:t>
      </w:r>
      <w:proofErr w:type="gramStart"/>
      <w:r>
        <w:rPr>
          <w:rFonts w:ascii="Arial" w:hAnsi="Arial" w:cs="Arial"/>
          <w:color w:val="000000"/>
          <w:sz w:val="24"/>
          <w:szCs w:val="24"/>
        </w:rPr>
        <w:t>COVID  or</w:t>
      </w:r>
      <w:proofErr w:type="gramEnd"/>
      <w:r>
        <w:rPr>
          <w:rFonts w:ascii="Arial" w:hAnsi="Arial" w:cs="Arial"/>
          <w:color w:val="000000"/>
          <w:sz w:val="24"/>
          <w:szCs w:val="24"/>
        </w:rPr>
        <w:t xml:space="preserve"> suffering long term illness.</w:t>
      </w:r>
    </w:p>
    <w:p w14:paraId="4EDBF179" w14:textId="77777777">
      <w:pPr>
        <w:pStyle w:val="ListParagraph"/>
        <w:numPr>
          <w:ilvl w:val="0"/>
          <w:numId w:val="31"/>
        </w:numPr>
        <w:spacing w:after="160" w:line="259" w:lineRule="auto"/>
        <w:ind w:left="1080"/>
        <w:jc w:val="both"/>
        <w:rPr>
          <w:rFonts w:ascii="Arial" w:hAnsi="Arial" w:cs="Arial"/>
          <w:color w:val="000000"/>
          <w:sz w:val="24"/>
          <w:szCs w:val="24"/>
        </w:rPr>
      </w:pPr>
      <w:r>
        <w:rPr>
          <w:rFonts w:ascii="Arial" w:hAnsi="Arial" w:cs="Arial"/>
          <w:color w:val="000000"/>
          <w:sz w:val="24"/>
          <w:szCs w:val="24"/>
        </w:rPr>
        <w:t>Households living in a property with an Energy Performance Certificate (EPC) rating of E, F or G.</w:t>
      </w:r>
    </w:p>
    <w:p w14:paraId="66CB9FB9" w14:textId="77777777">
      <w:pPr>
        <w:pStyle w:val="ListParagraph"/>
        <w:numPr>
          <w:ilvl w:val="0"/>
          <w:numId w:val="31"/>
        </w:numPr>
        <w:spacing w:after="160" w:line="259" w:lineRule="auto"/>
        <w:ind w:left="1080"/>
        <w:jc w:val="both"/>
        <w:rPr>
          <w:rFonts w:ascii="Arial" w:hAnsi="Arial" w:cs="Arial"/>
          <w:color w:val="000000"/>
          <w:sz w:val="24"/>
          <w:szCs w:val="24"/>
        </w:rPr>
      </w:pPr>
      <w:r>
        <w:rPr>
          <w:rFonts w:ascii="Arial" w:hAnsi="Arial" w:cs="Arial"/>
          <w:color w:val="000000"/>
          <w:sz w:val="24"/>
          <w:szCs w:val="24"/>
        </w:rPr>
        <w:t xml:space="preserve">If the home built before 1975 and of non- traditional construction </w:t>
      </w:r>
      <w:proofErr w:type="gramStart"/>
      <w:r>
        <w:rPr>
          <w:rFonts w:ascii="Arial" w:hAnsi="Arial" w:cs="Arial"/>
          <w:color w:val="000000"/>
          <w:sz w:val="24"/>
          <w:szCs w:val="24"/>
        </w:rPr>
        <w:t>e.g.</w:t>
      </w:r>
      <w:proofErr w:type="gramEnd"/>
      <w:r>
        <w:rPr>
          <w:rFonts w:ascii="Arial" w:hAnsi="Arial" w:cs="Arial"/>
          <w:color w:val="000000"/>
          <w:sz w:val="24"/>
          <w:szCs w:val="24"/>
        </w:rPr>
        <w:t xml:space="preserve"> solid wall/Hard to Treat Cavity (HTTC).</w:t>
      </w:r>
    </w:p>
    <w:p w14:paraId="2CBB6436" w14:textId="77777777">
      <w:pPr>
        <w:pStyle w:val="ListParagraph"/>
        <w:numPr>
          <w:ilvl w:val="0"/>
          <w:numId w:val="31"/>
        </w:numPr>
        <w:spacing w:after="160" w:line="259" w:lineRule="auto"/>
        <w:ind w:left="1080"/>
        <w:jc w:val="both"/>
        <w:rPr>
          <w:rFonts w:ascii="Arial" w:hAnsi="Arial" w:cs="Arial"/>
          <w:color w:val="000000"/>
          <w:sz w:val="24"/>
          <w:szCs w:val="24"/>
        </w:rPr>
      </w:pPr>
      <w:r>
        <w:rPr>
          <w:rFonts w:ascii="Arial" w:hAnsi="Arial" w:cs="Arial"/>
          <w:color w:val="000000"/>
          <w:sz w:val="24"/>
          <w:szCs w:val="24"/>
        </w:rPr>
        <w:t>If the main heating fuel is oil or solid fuel.</w:t>
      </w:r>
    </w:p>
    <w:p w14:paraId="2C002397" w14:textId="77777777">
      <w:pPr>
        <w:pStyle w:val="ListParagraph"/>
        <w:numPr>
          <w:ilvl w:val="0"/>
          <w:numId w:val="31"/>
        </w:numPr>
        <w:spacing w:after="160" w:line="259" w:lineRule="auto"/>
        <w:ind w:left="1080"/>
        <w:jc w:val="both"/>
        <w:rPr>
          <w:rFonts w:ascii="Arial" w:hAnsi="Arial" w:cs="Arial"/>
          <w:color w:val="000000"/>
          <w:sz w:val="24"/>
          <w:szCs w:val="24"/>
        </w:rPr>
      </w:pPr>
      <w:r>
        <w:rPr>
          <w:rFonts w:ascii="Arial" w:hAnsi="Arial" w:cs="Arial"/>
          <w:color w:val="000000"/>
          <w:sz w:val="24"/>
          <w:szCs w:val="24"/>
        </w:rPr>
        <w:lastRenderedPageBreak/>
        <w:t>The property has no central heating or has electric storage heating which has a responsiveness rating of 0.2 or less, as defined under the Standard Assessment Procedure (SAP) for calculating and comparing the energy and environmental performance of a domestic dwelling.</w:t>
      </w:r>
    </w:p>
    <w:p w14:paraId="1C6225A2" w14:textId="77777777">
      <w:pPr>
        <w:pStyle w:val="ListParagraph"/>
        <w:numPr>
          <w:ilvl w:val="0"/>
          <w:numId w:val="31"/>
        </w:numPr>
        <w:spacing w:after="160" w:line="259" w:lineRule="auto"/>
        <w:ind w:left="1080"/>
        <w:jc w:val="both"/>
        <w:rPr>
          <w:rFonts w:ascii="Arial" w:hAnsi="Arial" w:cs="Arial"/>
          <w:color w:val="000000"/>
          <w:sz w:val="24"/>
          <w:szCs w:val="24"/>
        </w:rPr>
      </w:pPr>
      <w:r>
        <w:rPr>
          <w:rFonts w:ascii="Arial" w:hAnsi="Arial" w:cs="Arial"/>
          <w:color w:val="000000"/>
          <w:sz w:val="24"/>
          <w:szCs w:val="24"/>
        </w:rPr>
        <w:t>The main wall type of the property is inadequately insulated.</w:t>
      </w:r>
    </w:p>
    <w:p w14:paraId="7C4A8027" w14:textId="77777777">
      <w:pPr>
        <w:pStyle w:val="ListParagraph"/>
        <w:numPr>
          <w:ilvl w:val="0"/>
          <w:numId w:val="31"/>
        </w:numPr>
        <w:spacing w:after="160" w:line="259" w:lineRule="auto"/>
        <w:ind w:left="1080"/>
        <w:jc w:val="both"/>
        <w:rPr>
          <w:rFonts w:ascii="Arial" w:hAnsi="Arial" w:cs="Arial"/>
          <w:color w:val="000000"/>
          <w:sz w:val="24"/>
          <w:szCs w:val="24"/>
        </w:rPr>
      </w:pPr>
      <w:r>
        <w:rPr>
          <w:rFonts w:ascii="Arial" w:hAnsi="Arial" w:cs="Arial"/>
          <w:color w:val="000000"/>
          <w:sz w:val="24"/>
          <w:szCs w:val="24"/>
        </w:rPr>
        <w:t xml:space="preserve">The roof of the property in inadequately insulated. </w:t>
      </w:r>
    </w:p>
    <w:p w14:paraId="5123633C" w14:textId="77777777">
      <w:pPr>
        <w:autoSpaceDE w:val="0"/>
        <w:autoSpaceDN w:val="0"/>
        <w:adjustRightInd w:val="0"/>
        <w:spacing w:after="0"/>
        <w:rPr>
          <w:rFonts w:ascii="Arial" w:hAnsi="Arial" w:cs="Arial"/>
          <w:color w:val="000000"/>
          <w:sz w:val="24"/>
          <w:szCs w:val="24"/>
        </w:rPr>
      </w:pPr>
    </w:p>
    <w:p w14:paraId="55A2D36E" w14:textId="77777777">
      <w:pPr>
        <w:autoSpaceDE w:val="0"/>
        <w:autoSpaceDN w:val="0"/>
        <w:adjustRightInd w:val="0"/>
        <w:spacing w:after="0"/>
        <w:ind w:left="720"/>
        <w:rPr>
          <w:rFonts w:ascii="Arial" w:hAnsi="Arial" w:cs="Arial"/>
          <w:b/>
          <w:color w:val="000000"/>
          <w:sz w:val="24"/>
          <w:szCs w:val="24"/>
        </w:rPr>
      </w:pPr>
      <w:r>
        <w:rPr>
          <w:rFonts w:ascii="Arial" w:hAnsi="Arial" w:cs="Arial"/>
          <w:b/>
          <w:color w:val="000000"/>
          <w:sz w:val="24"/>
          <w:szCs w:val="24"/>
        </w:rPr>
        <w:t xml:space="preserve">Route 2   </w:t>
      </w:r>
    </w:p>
    <w:p w14:paraId="62960C9C" w14:textId="77777777">
      <w:pPr>
        <w:autoSpaceDE w:val="0"/>
        <w:autoSpaceDN w:val="0"/>
        <w:adjustRightInd w:val="0"/>
        <w:spacing w:after="0"/>
        <w:ind w:left="720"/>
        <w:rPr>
          <w:rFonts w:ascii="Arial" w:hAnsi="Arial" w:cs="Arial"/>
          <w:b/>
          <w:color w:val="000000"/>
          <w:sz w:val="24"/>
          <w:szCs w:val="24"/>
        </w:rPr>
      </w:pPr>
    </w:p>
    <w:p w14:paraId="316E9ADC" w14:textId="77777777">
      <w:pPr>
        <w:autoSpaceDE w:val="0"/>
        <w:autoSpaceDN w:val="0"/>
        <w:adjustRightInd w:val="0"/>
        <w:spacing w:after="0"/>
        <w:ind w:left="720"/>
        <w:rPr>
          <w:rFonts w:ascii="Arial" w:hAnsi="Arial" w:cs="Arial"/>
          <w:color w:val="000000"/>
          <w:sz w:val="24"/>
          <w:szCs w:val="24"/>
        </w:rPr>
      </w:pPr>
      <w:r>
        <w:rPr>
          <w:rFonts w:ascii="Arial" w:hAnsi="Arial" w:cs="Arial"/>
          <w:b/>
          <w:color w:val="000000"/>
          <w:sz w:val="24"/>
          <w:szCs w:val="24"/>
        </w:rPr>
        <w:t xml:space="preserve">A </w:t>
      </w:r>
      <w:proofErr w:type="gramStart"/>
      <w:r>
        <w:rPr>
          <w:rFonts w:ascii="Arial" w:hAnsi="Arial" w:cs="Arial"/>
          <w:b/>
          <w:color w:val="000000"/>
          <w:sz w:val="24"/>
          <w:szCs w:val="24"/>
        </w:rPr>
        <w:t>low income</w:t>
      </w:r>
      <w:proofErr w:type="gramEnd"/>
      <w:r>
        <w:rPr>
          <w:rFonts w:ascii="Arial" w:hAnsi="Arial" w:cs="Arial"/>
          <w:b/>
          <w:color w:val="000000"/>
          <w:sz w:val="24"/>
          <w:szCs w:val="24"/>
        </w:rPr>
        <w:t xml:space="preserve"> household with at least one household member vulnerable to the effects of living in a cold home</w:t>
      </w:r>
      <w:r>
        <w:rPr>
          <w:rFonts w:ascii="Arial" w:hAnsi="Arial" w:cs="Arial"/>
          <w:color w:val="000000"/>
          <w:sz w:val="24"/>
          <w:szCs w:val="24"/>
        </w:rPr>
        <w:t xml:space="preserve">.  </w:t>
      </w:r>
    </w:p>
    <w:p w14:paraId="7B37A9C2" w14:textId="77777777">
      <w:pPr>
        <w:autoSpaceDE w:val="0"/>
        <w:autoSpaceDN w:val="0"/>
        <w:adjustRightInd w:val="0"/>
        <w:spacing w:after="0"/>
        <w:rPr>
          <w:rFonts w:ascii="Arial" w:hAnsi="Arial" w:cs="Arial"/>
          <w:color w:val="000000"/>
          <w:sz w:val="24"/>
          <w:szCs w:val="24"/>
        </w:rPr>
      </w:pPr>
    </w:p>
    <w:p w14:paraId="21786E64" w14:textId="77777777">
      <w:pPr>
        <w:pStyle w:val="Default"/>
        <w:ind w:left="720"/>
        <w:jc w:val="both"/>
        <w:rPr>
          <w:rStyle w:val="FootnoteReference"/>
          <w:vertAlign w:val="baseline"/>
        </w:rPr>
      </w:pPr>
      <w:r>
        <w:t>Have an income of less than the Scottish mean of £31,605</w:t>
      </w:r>
      <w:r>
        <w:rPr>
          <w:szCs w:val="20"/>
        </w:rPr>
        <w:t xml:space="preserve"> </w:t>
      </w:r>
      <w:r>
        <w:rPr>
          <w:rStyle w:val="FootnoteReference"/>
        </w:rPr>
        <w:t>3</w:t>
      </w:r>
      <w:r>
        <w:t xml:space="preserve"> or is in receipt of pension credit savings/guarantee element and have one or more members: </w:t>
      </w:r>
    </w:p>
    <w:p w14:paraId="242FAFFF" w14:textId="77777777">
      <w:pPr>
        <w:pStyle w:val="ListParagraph"/>
        <w:autoSpaceDE w:val="0"/>
        <w:autoSpaceDN w:val="0"/>
        <w:adjustRightInd w:val="0"/>
        <w:spacing w:after="18"/>
        <w:ind w:left="1080"/>
        <w:rPr>
          <w:rFonts w:ascii="Arial" w:hAnsi="Arial" w:cs="Arial"/>
          <w:color w:val="000000"/>
          <w:sz w:val="24"/>
          <w:szCs w:val="24"/>
        </w:rPr>
      </w:pPr>
    </w:p>
    <w:p w14:paraId="547F8FEB" w14:textId="77777777">
      <w:pPr>
        <w:pStyle w:val="ListParagraph"/>
        <w:numPr>
          <w:ilvl w:val="0"/>
          <w:numId w:val="12"/>
        </w:numPr>
        <w:autoSpaceDE w:val="0"/>
        <w:autoSpaceDN w:val="0"/>
        <w:adjustRightInd w:val="0"/>
        <w:spacing w:after="18"/>
        <w:ind w:left="1418"/>
        <w:rPr>
          <w:rFonts w:ascii="Arial" w:hAnsi="Arial" w:cs="Arial"/>
          <w:color w:val="000000"/>
          <w:sz w:val="24"/>
          <w:szCs w:val="24"/>
        </w:rPr>
      </w:pPr>
      <w:r>
        <w:rPr>
          <w:rFonts w:ascii="Arial" w:hAnsi="Arial" w:cs="Arial"/>
          <w:color w:val="000000"/>
          <w:sz w:val="24"/>
          <w:szCs w:val="24"/>
        </w:rPr>
        <w:t>with a limiting long term or terminal illness</w:t>
      </w:r>
    </w:p>
    <w:p w14:paraId="3CC112BF" w14:textId="77777777">
      <w:pPr>
        <w:pStyle w:val="ListParagraph"/>
        <w:numPr>
          <w:ilvl w:val="0"/>
          <w:numId w:val="12"/>
        </w:numPr>
        <w:autoSpaceDE w:val="0"/>
        <w:autoSpaceDN w:val="0"/>
        <w:adjustRightInd w:val="0"/>
        <w:spacing w:after="18"/>
        <w:ind w:left="1418"/>
        <w:rPr>
          <w:rFonts w:ascii="Arial" w:hAnsi="Arial" w:cs="Arial"/>
          <w:color w:val="000000"/>
          <w:sz w:val="24"/>
          <w:szCs w:val="24"/>
        </w:rPr>
      </w:pPr>
      <w:r>
        <w:rPr>
          <w:rFonts w:ascii="Arial" w:hAnsi="Arial" w:cs="Arial"/>
          <w:color w:val="000000"/>
          <w:sz w:val="24"/>
          <w:szCs w:val="24"/>
        </w:rPr>
        <w:t>with a mental illness</w:t>
      </w:r>
    </w:p>
    <w:p w14:paraId="55F90433" w14:textId="77777777">
      <w:pPr>
        <w:pStyle w:val="ListParagraph"/>
        <w:numPr>
          <w:ilvl w:val="0"/>
          <w:numId w:val="12"/>
        </w:numPr>
        <w:autoSpaceDE w:val="0"/>
        <w:autoSpaceDN w:val="0"/>
        <w:adjustRightInd w:val="0"/>
        <w:spacing w:after="18"/>
        <w:ind w:left="1418"/>
        <w:rPr>
          <w:rFonts w:ascii="Arial" w:hAnsi="Arial" w:cs="Arial"/>
          <w:color w:val="000000"/>
          <w:sz w:val="24"/>
          <w:szCs w:val="24"/>
        </w:rPr>
      </w:pPr>
      <w:r>
        <w:rPr>
          <w:rFonts w:ascii="Arial" w:hAnsi="Arial" w:cs="Arial"/>
          <w:color w:val="000000"/>
          <w:sz w:val="24"/>
          <w:szCs w:val="24"/>
        </w:rPr>
        <w:t>with a respiratory condition including effects of COVID 19</w:t>
      </w:r>
    </w:p>
    <w:p w14:paraId="4D22F80F" w14:textId="77777777">
      <w:pPr>
        <w:pStyle w:val="ListParagraph"/>
        <w:numPr>
          <w:ilvl w:val="0"/>
          <w:numId w:val="12"/>
        </w:numPr>
        <w:autoSpaceDE w:val="0"/>
        <w:autoSpaceDN w:val="0"/>
        <w:adjustRightInd w:val="0"/>
        <w:spacing w:after="18"/>
        <w:ind w:left="1418"/>
        <w:rPr>
          <w:rFonts w:ascii="Arial" w:hAnsi="Arial" w:cs="Arial"/>
          <w:color w:val="000000"/>
          <w:sz w:val="24"/>
          <w:szCs w:val="24"/>
        </w:rPr>
      </w:pPr>
      <w:r>
        <w:rPr>
          <w:rFonts w:ascii="Arial" w:hAnsi="Arial" w:cs="Arial"/>
          <w:color w:val="000000"/>
          <w:sz w:val="24"/>
          <w:szCs w:val="24"/>
        </w:rPr>
        <w:t>with a disability</w:t>
      </w:r>
    </w:p>
    <w:p w14:paraId="519347FE" w14:textId="77777777">
      <w:pPr>
        <w:pStyle w:val="ListParagraph"/>
        <w:numPr>
          <w:ilvl w:val="0"/>
          <w:numId w:val="12"/>
        </w:numPr>
        <w:autoSpaceDE w:val="0"/>
        <w:autoSpaceDN w:val="0"/>
        <w:adjustRightInd w:val="0"/>
        <w:spacing w:after="18"/>
        <w:ind w:left="1418"/>
        <w:rPr>
          <w:rFonts w:ascii="Arial" w:hAnsi="Arial" w:cs="Arial"/>
          <w:color w:val="000000"/>
          <w:sz w:val="24"/>
          <w:szCs w:val="24"/>
        </w:rPr>
      </w:pPr>
      <w:r>
        <w:rPr>
          <w:rFonts w:ascii="Arial" w:hAnsi="Arial" w:cs="Arial"/>
          <w:color w:val="000000"/>
          <w:sz w:val="24"/>
          <w:szCs w:val="24"/>
        </w:rPr>
        <w:t xml:space="preserve">experienced moving in and out of </w:t>
      </w:r>
      <w:proofErr w:type="gramStart"/>
      <w:r>
        <w:rPr>
          <w:rFonts w:ascii="Arial" w:hAnsi="Arial" w:cs="Arial"/>
          <w:color w:val="000000"/>
          <w:sz w:val="24"/>
          <w:szCs w:val="24"/>
        </w:rPr>
        <w:t>homelessness</w:t>
      </w:r>
      <w:proofErr w:type="gramEnd"/>
    </w:p>
    <w:p w14:paraId="1A3DAE5F" w14:textId="77777777">
      <w:pPr>
        <w:pStyle w:val="ListParagraph"/>
        <w:numPr>
          <w:ilvl w:val="0"/>
          <w:numId w:val="12"/>
        </w:numPr>
        <w:autoSpaceDE w:val="0"/>
        <w:autoSpaceDN w:val="0"/>
        <w:adjustRightInd w:val="0"/>
        <w:spacing w:after="18"/>
        <w:ind w:left="1418"/>
        <w:rPr>
          <w:rFonts w:ascii="Arial" w:hAnsi="Arial" w:cs="Arial"/>
          <w:color w:val="000000"/>
          <w:sz w:val="24"/>
          <w:szCs w:val="24"/>
        </w:rPr>
      </w:pPr>
      <w:r>
        <w:rPr>
          <w:rFonts w:ascii="Arial" w:hAnsi="Arial" w:cs="Arial"/>
          <w:color w:val="000000"/>
          <w:sz w:val="24"/>
          <w:szCs w:val="24"/>
        </w:rPr>
        <w:t xml:space="preserve">is a recent immigrant or asylum </w:t>
      </w:r>
      <w:proofErr w:type="gramStart"/>
      <w:r>
        <w:rPr>
          <w:rFonts w:ascii="Arial" w:hAnsi="Arial" w:cs="Arial"/>
          <w:color w:val="000000"/>
          <w:sz w:val="24"/>
          <w:szCs w:val="24"/>
        </w:rPr>
        <w:t>seeker</w:t>
      </w:r>
      <w:proofErr w:type="gramEnd"/>
    </w:p>
    <w:p w14:paraId="4B5736D9" w14:textId="77777777">
      <w:pPr>
        <w:pStyle w:val="ListParagraph"/>
        <w:numPr>
          <w:ilvl w:val="0"/>
          <w:numId w:val="12"/>
        </w:numPr>
        <w:autoSpaceDE w:val="0"/>
        <w:autoSpaceDN w:val="0"/>
        <w:adjustRightInd w:val="0"/>
        <w:spacing w:after="18"/>
        <w:ind w:left="1418"/>
        <w:rPr>
          <w:rFonts w:ascii="Arial" w:hAnsi="Arial" w:cs="Arial"/>
          <w:color w:val="000000"/>
          <w:sz w:val="24"/>
          <w:szCs w:val="24"/>
        </w:rPr>
      </w:pPr>
      <w:r>
        <w:rPr>
          <w:rFonts w:ascii="Arial" w:hAnsi="Arial" w:cs="Arial"/>
          <w:color w:val="000000"/>
          <w:sz w:val="24"/>
          <w:szCs w:val="24"/>
        </w:rPr>
        <w:t xml:space="preserve">experienced a recent bereavement within the </w:t>
      </w:r>
      <w:proofErr w:type="gramStart"/>
      <w:r>
        <w:rPr>
          <w:rFonts w:ascii="Arial" w:hAnsi="Arial" w:cs="Arial"/>
          <w:color w:val="000000"/>
          <w:sz w:val="24"/>
          <w:szCs w:val="24"/>
        </w:rPr>
        <w:t>household</w:t>
      </w:r>
      <w:proofErr w:type="gramEnd"/>
    </w:p>
    <w:p w14:paraId="6BDFEF7B" w14:textId="77777777">
      <w:pPr>
        <w:pStyle w:val="ListParagraph"/>
        <w:numPr>
          <w:ilvl w:val="0"/>
          <w:numId w:val="12"/>
        </w:numPr>
        <w:autoSpaceDE w:val="0"/>
        <w:autoSpaceDN w:val="0"/>
        <w:adjustRightInd w:val="0"/>
        <w:spacing w:after="18"/>
        <w:ind w:left="1418"/>
        <w:rPr>
          <w:rFonts w:ascii="Arial" w:hAnsi="Arial" w:cs="Arial"/>
          <w:color w:val="000000"/>
          <w:sz w:val="24"/>
          <w:szCs w:val="24"/>
        </w:rPr>
      </w:pPr>
      <w:r>
        <w:rPr>
          <w:rFonts w:ascii="Arial" w:hAnsi="Arial" w:cs="Arial"/>
          <w:color w:val="000000"/>
          <w:sz w:val="24"/>
          <w:szCs w:val="24"/>
        </w:rPr>
        <w:t xml:space="preserve">is on the priority register of </w:t>
      </w:r>
      <w:proofErr w:type="gramStart"/>
      <w:r>
        <w:rPr>
          <w:rFonts w:ascii="Arial" w:hAnsi="Arial" w:cs="Arial"/>
          <w:color w:val="000000"/>
          <w:sz w:val="24"/>
          <w:szCs w:val="24"/>
        </w:rPr>
        <w:t>an</w:t>
      </w:r>
      <w:proofErr w:type="gramEnd"/>
      <w:r>
        <w:rPr>
          <w:rFonts w:ascii="Arial" w:hAnsi="Arial" w:cs="Arial"/>
          <w:color w:val="000000"/>
          <w:sz w:val="24"/>
          <w:szCs w:val="24"/>
        </w:rPr>
        <w:t xml:space="preserve"> utility company</w:t>
      </w:r>
    </w:p>
    <w:p w14:paraId="08F33AEC" w14:textId="77777777">
      <w:pPr>
        <w:pStyle w:val="ListParagraph"/>
        <w:numPr>
          <w:ilvl w:val="0"/>
          <w:numId w:val="12"/>
        </w:numPr>
        <w:autoSpaceDE w:val="0"/>
        <w:autoSpaceDN w:val="0"/>
        <w:adjustRightInd w:val="0"/>
        <w:spacing w:after="18"/>
        <w:ind w:left="1418"/>
        <w:rPr>
          <w:rFonts w:ascii="Arial" w:hAnsi="Arial" w:cs="Arial"/>
          <w:color w:val="000000"/>
          <w:sz w:val="24"/>
          <w:szCs w:val="24"/>
        </w:rPr>
      </w:pPr>
      <w:r>
        <w:rPr>
          <w:rFonts w:ascii="Arial" w:hAnsi="Arial" w:cs="Arial"/>
          <w:color w:val="000000"/>
          <w:sz w:val="24"/>
          <w:szCs w:val="24"/>
        </w:rPr>
        <w:t>is a recipient of a Warm Home Discount</w:t>
      </w:r>
    </w:p>
    <w:p w14:paraId="76281F50" w14:textId="77777777">
      <w:pPr>
        <w:pStyle w:val="ListParagraph"/>
        <w:numPr>
          <w:ilvl w:val="0"/>
          <w:numId w:val="12"/>
        </w:numPr>
        <w:autoSpaceDE w:val="0"/>
        <w:autoSpaceDN w:val="0"/>
        <w:adjustRightInd w:val="0"/>
        <w:spacing w:after="18"/>
        <w:ind w:left="1418"/>
        <w:rPr>
          <w:rFonts w:ascii="Arial" w:hAnsi="Arial" w:cs="Arial"/>
          <w:color w:val="000000"/>
          <w:sz w:val="24"/>
          <w:szCs w:val="24"/>
        </w:rPr>
      </w:pPr>
      <w:r>
        <w:rPr>
          <w:rFonts w:ascii="Arial" w:hAnsi="Arial" w:cs="Arial"/>
          <w:color w:val="000000"/>
          <w:sz w:val="24"/>
          <w:szCs w:val="24"/>
        </w:rPr>
        <w:t xml:space="preserve">who are 60 years or </w:t>
      </w:r>
      <w:proofErr w:type="gramStart"/>
      <w:r>
        <w:rPr>
          <w:rFonts w:ascii="Arial" w:hAnsi="Arial" w:cs="Arial"/>
          <w:color w:val="000000"/>
          <w:sz w:val="24"/>
          <w:szCs w:val="24"/>
        </w:rPr>
        <w:t>over</w:t>
      </w:r>
      <w:proofErr w:type="gramEnd"/>
    </w:p>
    <w:p w14:paraId="7C462703" w14:textId="77777777">
      <w:pPr>
        <w:pStyle w:val="ListParagraph"/>
        <w:numPr>
          <w:ilvl w:val="0"/>
          <w:numId w:val="12"/>
        </w:numPr>
        <w:autoSpaceDE w:val="0"/>
        <w:autoSpaceDN w:val="0"/>
        <w:adjustRightInd w:val="0"/>
        <w:spacing w:after="18"/>
        <w:ind w:left="1418"/>
        <w:rPr>
          <w:rFonts w:ascii="Arial" w:hAnsi="Arial" w:cs="Arial"/>
          <w:color w:val="000000"/>
          <w:sz w:val="24"/>
          <w:szCs w:val="24"/>
        </w:rPr>
      </w:pPr>
      <w:r>
        <w:rPr>
          <w:rFonts w:ascii="Arial" w:hAnsi="Arial" w:cs="Arial"/>
          <w:color w:val="000000"/>
          <w:sz w:val="24"/>
          <w:szCs w:val="24"/>
        </w:rPr>
        <w:t xml:space="preserve">who are dependent children of 18 years or </w:t>
      </w:r>
      <w:proofErr w:type="gramStart"/>
      <w:r>
        <w:rPr>
          <w:rFonts w:ascii="Arial" w:hAnsi="Arial" w:cs="Arial"/>
          <w:color w:val="000000"/>
          <w:sz w:val="24"/>
          <w:szCs w:val="24"/>
        </w:rPr>
        <w:t>younger</w:t>
      </w:r>
      <w:proofErr w:type="gramEnd"/>
      <w:r>
        <w:rPr>
          <w:rFonts w:ascii="Arial" w:hAnsi="Arial" w:cs="Arial"/>
          <w:color w:val="000000"/>
          <w:sz w:val="24"/>
          <w:szCs w:val="24"/>
        </w:rPr>
        <w:t xml:space="preserve"> </w:t>
      </w:r>
    </w:p>
    <w:p w14:paraId="2A538E1C" w14:textId="77777777">
      <w:pPr>
        <w:pStyle w:val="ListParagraph"/>
        <w:numPr>
          <w:ilvl w:val="0"/>
          <w:numId w:val="12"/>
        </w:numPr>
        <w:autoSpaceDE w:val="0"/>
        <w:autoSpaceDN w:val="0"/>
        <w:adjustRightInd w:val="0"/>
        <w:spacing w:after="18"/>
        <w:ind w:left="1418"/>
        <w:rPr>
          <w:rFonts w:ascii="Arial" w:hAnsi="Arial" w:cs="Arial"/>
          <w:color w:val="000000"/>
          <w:sz w:val="24"/>
          <w:szCs w:val="24"/>
        </w:rPr>
      </w:pPr>
      <w:r>
        <w:rPr>
          <w:rFonts w:ascii="Arial" w:hAnsi="Arial" w:cs="Arial"/>
          <w:color w:val="000000"/>
          <w:sz w:val="24"/>
          <w:szCs w:val="24"/>
        </w:rPr>
        <w:t xml:space="preserve">in receipt of an DWP benefit; attendance allowance, HRMC child benefit; or any Ministry of Defence benefit </w:t>
      </w:r>
    </w:p>
    <w:p w14:paraId="627F90ED" w14:textId="77777777">
      <w:pPr>
        <w:pStyle w:val="ListParagraph"/>
        <w:autoSpaceDE w:val="0"/>
        <w:autoSpaceDN w:val="0"/>
        <w:adjustRightInd w:val="0"/>
        <w:spacing w:after="18"/>
        <w:ind w:left="1418"/>
        <w:rPr>
          <w:rFonts w:ascii="Arial" w:hAnsi="Arial" w:cs="Arial"/>
          <w:color w:val="000000"/>
          <w:sz w:val="24"/>
          <w:szCs w:val="24"/>
        </w:rPr>
      </w:pPr>
    </w:p>
    <w:p w14:paraId="52E7BC3F" w14:textId="77777777">
      <w:pPr>
        <w:spacing w:after="160" w:line="259" w:lineRule="auto"/>
        <w:ind w:left="709" w:hanging="709"/>
        <w:rPr>
          <w:rFonts w:ascii="Arial" w:hAnsi="Arial" w:cs="Arial"/>
          <w:color w:val="000000"/>
          <w:sz w:val="24"/>
          <w:szCs w:val="24"/>
        </w:rPr>
      </w:pPr>
      <w:r>
        <w:rPr>
          <w:rFonts w:ascii="Arial" w:hAnsi="Arial" w:cs="Arial"/>
          <w:color w:val="000000"/>
          <w:sz w:val="24"/>
          <w:szCs w:val="24"/>
        </w:rPr>
        <w:t>2.3</w:t>
      </w:r>
      <w:r>
        <w:rPr>
          <w:rFonts w:ascii="Arial" w:hAnsi="Arial" w:cs="Arial"/>
          <w:color w:val="000000"/>
          <w:sz w:val="24"/>
          <w:szCs w:val="24"/>
        </w:rPr>
        <w:tab/>
        <w:t xml:space="preserve">Exceptional cases not meeting the above criteria in route 1 or 2 will be considered on a </w:t>
      </w:r>
      <w:proofErr w:type="gramStart"/>
      <w:r>
        <w:rPr>
          <w:rFonts w:ascii="Arial" w:hAnsi="Arial" w:cs="Arial"/>
          <w:color w:val="000000"/>
          <w:sz w:val="24"/>
          <w:szCs w:val="24"/>
        </w:rPr>
        <w:t>case by case</w:t>
      </w:r>
      <w:proofErr w:type="gramEnd"/>
      <w:r>
        <w:rPr>
          <w:rFonts w:ascii="Arial" w:hAnsi="Arial" w:cs="Arial"/>
          <w:color w:val="000000"/>
          <w:sz w:val="24"/>
          <w:szCs w:val="24"/>
        </w:rPr>
        <w:t xml:space="preserve"> basis.</w:t>
      </w:r>
    </w:p>
    <w:p w14:paraId="1F2DA929" w14:textId="77777777">
      <w:pPr>
        <w:autoSpaceDE w:val="0"/>
        <w:autoSpaceDN w:val="0"/>
        <w:adjustRightInd w:val="0"/>
        <w:spacing w:after="0"/>
        <w:rPr>
          <w:rFonts w:ascii="Arial" w:hAnsi="Arial" w:cs="Arial"/>
          <w:color w:val="000000"/>
          <w:sz w:val="24"/>
          <w:szCs w:val="24"/>
        </w:rPr>
      </w:pPr>
    </w:p>
    <w:p w14:paraId="35BF4F6E" w14:textId="77777777">
      <w:pPr>
        <w:autoSpaceDE w:val="0"/>
        <w:autoSpaceDN w:val="0"/>
        <w:adjustRightInd w:val="0"/>
        <w:spacing w:after="0"/>
        <w:ind w:left="709" w:hanging="720"/>
        <w:jc w:val="both"/>
        <w:rPr>
          <w:rFonts w:ascii="Arial" w:hAnsi="Arial" w:cs="Arial"/>
          <w:color w:val="000000"/>
          <w:sz w:val="24"/>
          <w:szCs w:val="24"/>
        </w:rPr>
      </w:pPr>
      <w:r>
        <w:rPr>
          <w:rFonts w:ascii="Arial" w:hAnsi="Arial" w:cs="Arial"/>
          <w:color w:val="000000"/>
          <w:sz w:val="24"/>
          <w:szCs w:val="24"/>
        </w:rPr>
        <w:t>2.4</w:t>
      </w:r>
      <w:r>
        <w:rPr>
          <w:rFonts w:ascii="Arial" w:hAnsi="Arial" w:cs="Arial"/>
          <w:color w:val="000000"/>
          <w:sz w:val="24"/>
          <w:szCs w:val="24"/>
        </w:rPr>
        <w:tab/>
        <w:t xml:space="preserve">The council can also facilitate solid wall, non-traditional and HTTC insulation schemes under flexible eligibility including households that are not in fuel poverty or vulnerable (‘in fill’). </w:t>
      </w:r>
    </w:p>
    <w:p w14:paraId="0756F805" w14:textId="77777777">
      <w:pPr>
        <w:autoSpaceDE w:val="0"/>
        <w:autoSpaceDN w:val="0"/>
        <w:adjustRightInd w:val="0"/>
        <w:spacing w:after="0"/>
        <w:ind w:left="624"/>
        <w:jc w:val="both"/>
        <w:rPr>
          <w:rFonts w:ascii="Arial" w:hAnsi="Arial" w:cs="Arial"/>
          <w:color w:val="000000"/>
          <w:sz w:val="24"/>
          <w:szCs w:val="24"/>
        </w:rPr>
      </w:pPr>
    </w:p>
    <w:p w14:paraId="2E758F1D" w14:textId="77777777">
      <w:pPr>
        <w:autoSpaceDE w:val="0"/>
        <w:autoSpaceDN w:val="0"/>
        <w:adjustRightInd w:val="0"/>
        <w:spacing w:after="0"/>
        <w:ind w:left="624"/>
        <w:jc w:val="both"/>
        <w:rPr>
          <w:rFonts w:ascii="Arial" w:hAnsi="Arial" w:cs="Arial"/>
          <w:color w:val="000000"/>
          <w:sz w:val="24"/>
          <w:szCs w:val="24"/>
        </w:rPr>
      </w:pPr>
      <w:r>
        <w:rPr>
          <w:rFonts w:ascii="Arial" w:hAnsi="Arial" w:cs="Arial"/>
          <w:color w:val="000000"/>
          <w:sz w:val="24"/>
          <w:szCs w:val="24"/>
        </w:rPr>
        <w:t xml:space="preserve">In terms of Infill </w:t>
      </w:r>
      <w:proofErr w:type="gramStart"/>
      <w:r>
        <w:rPr>
          <w:rFonts w:ascii="Arial" w:hAnsi="Arial" w:cs="Arial"/>
          <w:color w:val="000000"/>
          <w:sz w:val="24"/>
          <w:szCs w:val="24"/>
        </w:rPr>
        <w:t>criteria</w:t>
      </w:r>
      <w:proofErr w:type="gramEnd"/>
      <w:r>
        <w:rPr>
          <w:rFonts w:ascii="Arial" w:hAnsi="Arial" w:cs="Arial"/>
          <w:color w:val="000000"/>
          <w:sz w:val="24"/>
          <w:szCs w:val="24"/>
        </w:rPr>
        <w:t xml:space="preserve"> the Council intends to support energy efficiency improvement projects for vulnerable households in areas where external wall insulation is technically feasible, permitted under Planning legislation and can attract funding.  This will be primarily, but not exclusively, areas identified by the Council as forming part of their Energy Efficient Scotland Area Based Scheme (ABS) Programmes.  Targeted areas for ABS programmes are in the lowest SIMD data zone areas which are a key source of data for determining a household’s risk of fuel poverty. </w:t>
      </w:r>
    </w:p>
    <w:p w14:paraId="6F002752" w14:textId="77777777">
      <w:pPr>
        <w:autoSpaceDE w:val="0"/>
        <w:autoSpaceDN w:val="0"/>
        <w:adjustRightInd w:val="0"/>
        <w:spacing w:after="0"/>
        <w:ind w:left="624" w:hanging="624"/>
        <w:jc w:val="both"/>
        <w:rPr>
          <w:rFonts w:ascii="Arial" w:hAnsi="Arial" w:cs="Arial"/>
          <w:color w:val="000000"/>
          <w:sz w:val="24"/>
          <w:szCs w:val="24"/>
        </w:rPr>
      </w:pPr>
    </w:p>
    <w:p w14:paraId="73F1622E" w14:textId="77777777">
      <w:pPr>
        <w:autoSpaceDE w:val="0"/>
        <w:autoSpaceDN w:val="0"/>
        <w:adjustRightInd w:val="0"/>
        <w:spacing w:after="0"/>
        <w:ind w:left="624" w:hanging="624"/>
        <w:jc w:val="both"/>
        <w:rPr>
          <w:rFonts w:ascii="Arial" w:hAnsi="Arial" w:cs="Arial"/>
          <w:color w:val="000000"/>
          <w:sz w:val="24"/>
          <w:szCs w:val="24"/>
        </w:rPr>
      </w:pPr>
      <w:r>
        <w:rPr>
          <w:rFonts w:ascii="Arial" w:hAnsi="Arial" w:cs="Arial"/>
          <w:color w:val="000000"/>
          <w:sz w:val="24"/>
          <w:szCs w:val="24"/>
        </w:rPr>
        <w:tab/>
        <w:t>The following eligibility criteria are those from the Governments Guidance and will be applied:</w:t>
      </w:r>
    </w:p>
    <w:p w14:paraId="0E508669" w14:textId="77777777">
      <w:pPr>
        <w:autoSpaceDE w:val="0"/>
        <w:autoSpaceDN w:val="0"/>
        <w:adjustRightInd w:val="0"/>
        <w:spacing w:after="0"/>
        <w:ind w:left="624" w:hanging="624"/>
        <w:jc w:val="both"/>
        <w:rPr>
          <w:rFonts w:ascii="Arial" w:hAnsi="Arial" w:cs="Arial"/>
          <w:color w:val="000000"/>
          <w:sz w:val="24"/>
          <w:szCs w:val="24"/>
        </w:rPr>
      </w:pPr>
    </w:p>
    <w:p w14:paraId="42411BD2" w14:textId="77777777">
      <w:pPr>
        <w:pStyle w:val="FootnoteText"/>
      </w:pPr>
      <w:r>
        <w:rPr>
          <w:rStyle w:val="FootnoteReference"/>
        </w:rPr>
        <w:t>3</w:t>
      </w:r>
      <w:r>
        <w:t xml:space="preserve"> Scottish Parliament - Annual Survey Household Earnings</w:t>
      </w:r>
    </w:p>
    <w:p w14:paraId="56D53189" w14:textId="77777777">
      <w:pPr>
        <w:autoSpaceDE w:val="0"/>
        <w:autoSpaceDN w:val="0"/>
        <w:adjustRightInd w:val="0"/>
        <w:spacing w:after="0"/>
        <w:ind w:firstLine="720"/>
        <w:jc w:val="both"/>
        <w:rPr>
          <w:rFonts w:ascii="Arial" w:hAnsi="Arial" w:cs="Arial"/>
          <w:color w:val="000000"/>
          <w:sz w:val="24"/>
          <w:szCs w:val="24"/>
        </w:rPr>
      </w:pPr>
    </w:p>
    <w:p w14:paraId="4BDA4456" w14:textId="77777777">
      <w:pPr>
        <w:autoSpaceDE w:val="0"/>
        <w:autoSpaceDN w:val="0"/>
        <w:adjustRightInd w:val="0"/>
        <w:spacing w:after="0"/>
        <w:ind w:firstLine="720"/>
        <w:jc w:val="both"/>
        <w:rPr>
          <w:rFonts w:ascii="Arial" w:hAnsi="Arial" w:cs="Arial"/>
          <w:color w:val="000000"/>
          <w:sz w:val="24"/>
          <w:szCs w:val="24"/>
        </w:rPr>
      </w:pPr>
      <w:r>
        <w:rPr>
          <w:rFonts w:ascii="Arial" w:hAnsi="Arial" w:cs="Arial"/>
          <w:color w:val="000000"/>
          <w:sz w:val="24"/>
          <w:szCs w:val="24"/>
        </w:rPr>
        <w:t xml:space="preserve">Non-fuel poor households eligible for in-fill must be: </w:t>
      </w:r>
    </w:p>
    <w:p w14:paraId="0F7C82D8" w14:textId="77777777">
      <w:pPr>
        <w:autoSpaceDE w:val="0"/>
        <w:autoSpaceDN w:val="0"/>
        <w:adjustRightInd w:val="0"/>
        <w:spacing w:after="0"/>
        <w:ind w:firstLine="720"/>
        <w:jc w:val="both"/>
        <w:rPr>
          <w:rFonts w:ascii="Arial" w:hAnsi="Arial" w:cs="Arial"/>
          <w:color w:val="000000"/>
          <w:sz w:val="24"/>
          <w:szCs w:val="24"/>
        </w:rPr>
      </w:pPr>
    </w:p>
    <w:p w14:paraId="36B445A7" w14:textId="77777777">
      <w:pPr>
        <w:pStyle w:val="ListParagraph"/>
        <w:numPr>
          <w:ilvl w:val="0"/>
          <w:numId w:val="13"/>
        </w:numPr>
        <w:autoSpaceDE w:val="0"/>
        <w:autoSpaceDN w:val="0"/>
        <w:adjustRightInd w:val="0"/>
        <w:spacing w:after="27"/>
        <w:jc w:val="both"/>
        <w:rPr>
          <w:rFonts w:ascii="Arial" w:hAnsi="Arial" w:cs="Arial"/>
          <w:color w:val="000000"/>
          <w:sz w:val="24"/>
          <w:szCs w:val="24"/>
        </w:rPr>
      </w:pPr>
      <w:r>
        <w:rPr>
          <w:rFonts w:ascii="Arial" w:hAnsi="Arial" w:cs="Arial"/>
          <w:color w:val="000000"/>
          <w:sz w:val="24"/>
          <w:szCs w:val="24"/>
        </w:rPr>
        <w:t xml:space="preserve">in the same terrace as </w:t>
      </w:r>
    </w:p>
    <w:p w14:paraId="3CE0DF73" w14:textId="77777777">
      <w:pPr>
        <w:pStyle w:val="ListParagraph"/>
        <w:numPr>
          <w:ilvl w:val="0"/>
          <w:numId w:val="13"/>
        </w:numPr>
        <w:autoSpaceDE w:val="0"/>
        <w:autoSpaceDN w:val="0"/>
        <w:adjustRightInd w:val="0"/>
        <w:spacing w:after="27"/>
        <w:jc w:val="both"/>
        <w:rPr>
          <w:rFonts w:ascii="Arial" w:hAnsi="Arial" w:cs="Arial"/>
          <w:color w:val="000000"/>
          <w:sz w:val="24"/>
          <w:szCs w:val="24"/>
        </w:rPr>
      </w:pPr>
      <w:r>
        <w:rPr>
          <w:rFonts w:ascii="Arial" w:hAnsi="Arial" w:cs="Arial"/>
          <w:color w:val="000000"/>
          <w:sz w:val="24"/>
          <w:szCs w:val="24"/>
        </w:rPr>
        <w:t xml:space="preserve">in an immediately adjacent building to, or </w:t>
      </w:r>
    </w:p>
    <w:p w14:paraId="19E91912" w14:textId="77777777">
      <w:pPr>
        <w:pStyle w:val="ListParagraph"/>
        <w:numPr>
          <w:ilvl w:val="0"/>
          <w:numId w:val="13"/>
        </w:num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 xml:space="preserve">are in the same building as the household that does meet the </w:t>
      </w:r>
      <w:proofErr w:type="gramStart"/>
      <w:r>
        <w:rPr>
          <w:rFonts w:ascii="Arial" w:hAnsi="Arial" w:cs="Arial"/>
          <w:color w:val="000000"/>
          <w:sz w:val="24"/>
          <w:szCs w:val="24"/>
        </w:rPr>
        <w:t>criteria</w:t>
      </w:r>
      <w:proofErr w:type="gramEnd"/>
      <w:r>
        <w:rPr>
          <w:rFonts w:ascii="Arial" w:hAnsi="Arial" w:cs="Arial"/>
          <w:color w:val="000000"/>
          <w:sz w:val="24"/>
          <w:szCs w:val="24"/>
        </w:rPr>
        <w:t xml:space="preserve"> </w:t>
      </w:r>
    </w:p>
    <w:p w14:paraId="1E73764C" w14:textId="77777777">
      <w:pPr>
        <w:pStyle w:val="ListParagraph"/>
        <w:ind w:left="0" w:firstLine="720"/>
        <w:rPr>
          <w:rFonts w:ascii="Arial" w:hAnsi="Arial" w:cs="Arial"/>
          <w:color w:val="000000"/>
          <w:sz w:val="24"/>
          <w:szCs w:val="24"/>
        </w:rPr>
      </w:pPr>
    </w:p>
    <w:p w14:paraId="4E8E0246" w14:textId="77777777">
      <w:pPr>
        <w:pStyle w:val="ListParagraph"/>
        <w:ind w:left="0" w:firstLine="720"/>
        <w:rPr>
          <w:rFonts w:ascii="Arial" w:hAnsi="Arial" w:cs="Arial"/>
          <w:color w:val="000000"/>
          <w:sz w:val="24"/>
          <w:szCs w:val="24"/>
        </w:rPr>
      </w:pPr>
      <w:r>
        <w:rPr>
          <w:rFonts w:ascii="Arial" w:hAnsi="Arial" w:cs="Arial"/>
          <w:color w:val="000000"/>
          <w:sz w:val="24"/>
          <w:szCs w:val="24"/>
        </w:rPr>
        <w:t>In-fill eligibility must meet the minimum percentages set out below:</w:t>
      </w:r>
    </w:p>
    <w:tbl>
      <w:tblPr>
        <w:tblStyle w:val="TableGrid"/>
        <w:tblW w:w="0" w:type="auto"/>
        <w:tblInd w:w="817" w:type="dxa"/>
        <w:tblLook w:val="04A0" w:firstRow="1" w:lastRow="0" w:firstColumn="1" w:lastColumn="0" w:noHBand="0" w:noVBand="1"/>
      </w:tblPr>
      <w:tblGrid>
        <w:gridCol w:w="2552"/>
        <w:gridCol w:w="2976"/>
        <w:gridCol w:w="2552"/>
      </w:tblGrid>
      <w:tr w14:paraId="480601E8" w14:textId="77777777">
        <w:tc>
          <w:tcPr>
            <w:tcW w:w="2552" w:type="dxa"/>
            <w:shd w:val="clear" w:color="auto" w:fill="EEECE1" w:themeFill="background2"/>
          </w:tcPr>
          <w:p w14:paraId="38FA07E7" w14:textId="77777777">
            <w:pPr>
              <w:pStyle w:val="Default"/>
              <w:ind w:left="317"/>
              <w:jc w:val="center"/>
              <w:rPr>
                <w:b/>
              </w:rPr>
            </w:pPr>
            <w:r>
              <w:rPr>
                <w:b/>
              </w:rPr>
              <w:t>Property Type</w:t>
            </w:r>
          </w:p>
          <w:p w14:paraId="6B0E05E7" w14:textId="77777777">
            <w:pPr>
              <w:pStyle w:val="ListParagraph"/>
              <w:ind w:left="317"/>
              <w:jc w:val="center"/>
              <w:rPr>
                <w:rFonts w:ascii="Arial" w:hAnsi="Arial" w:cs="Arial"/>
                <w:b/>
                <w:color w:val="000000"/>
                <w:sz w:val="24"/>
                <w:szCs w:val="24"/>
              </w:rPr>
            </w:pPr>
          </w:p>
        </w:tc>
        <w:tc>
          <w:tcPr>
            <w:tcW w:w="2976" w:type="dxa"/>
            <w:shd w:val="clear" w:color="auto" w:fill="EEECE1" w:themeFill="background2"/>
          </w:tcPr>
          <w:p w14:paraId="140558B8" w14:textId="77777777">
            <w:pPr>
              <w:pStyle w:val="ListParagraph"/>
              <w:ind w:left="0"/>
              <w:jc w:val="center"/>
              <w:rPr>
                <w:rFonts w:ascii="Arial" w:hAnsi="Arial" w:cs="Arial"/>
                <w:b/>
                <w:color w:val="000000"/>
                <w:sz w:val="24"/>
                <w:szCs w:val="24"/>
              </w:rPr>
            </w:pPr>
            <w:r>
              <w:rPr>
                <w:rFonts w:ascii="Arial" w:hAnsi="Arial" w:cs="Arial"/>
                <w:b/>
                <w:color w:val="000000"/>
                <w:sz w:val="24"/>
                <w:szCs w:val="24"/>
              </w:rPr>
              <w:t>LA declaration requirements</w:t>
            </w:r>
          </w:p>
        </w:tc>
        <w:tc>
          <w:tcPr>
            <w:tcW w:w="2552" w:type="dxa"/>
            <w:shd w:val="clear" w:color="auto" w:fill="EEECE1" w:themeFill="background2"/>
          </w:tcPr>
          <w:p w14:paraId="2C29509B" w14:textId="77777777">
            <w:pPr>
              <w:pStyle w:val="ListParagraph"/>
              <w:ind w:left="0"/>
              <w:jc w:val="center"/>
              <w:rPr>
                <w:rFonts w:ascii="Arial" w:hAnsi="Arial" w:cs="Arial"/>
                <w:b/>
                <w:color w:val="000000"/>
                <w:sz w:val="24"/>
                <w:szCs w:val="24"/>
              </w:rPr>
            </w:pPr>
            <w:r>
              <w:rPr>
                <w:rFonts w:ascii="Arial" w:hAnsi="Arial" w:cs="Arial"/>
                <w:b/>
                <w:color w:val="000000"/>
                <w:sz w:val="24"/>
                <w:szCs w:val="24"/>
              </w:rPr>
              <w:t>In-fill available</w:t>
            </w:r>
          </w:p>
        </w:tc>
      </w:tr>
      <w:tr w14:paraId="06DDE3F2" w14:textId="77777777">
        <w:tc>
          <w:tcPr>
            <w:tcW w:w="2552" w:type="dxa"/>
          </w:tcPr>
          <w:p w14:paraId="2983F295" w14:textId="77777777">
            <w:pPr>
              <w:pStyle w:val="Default"/>
              <w:rPr>
                <w:sz w:val="22"/>
                <w:szCs w:val="22"/>
              </w:rPr>
            </w:pPr>
            <w:proofErr w:type="spellStart"/>
            <w:r>
              <w:rPr>
                <w:sz w:val="22"/>
                <w:szCs w:val="22"/>
              </w:rPr>
              <w:t>Semi detached</w:t>
            </w:r>
            <w:proofErr w:type="spellEnd"/>
            <w:r>
              <w:rPr>
                <w:sz w:val="22"/>
                <w:szCs w:val="22"/>
              </w:rPr>
              <w:t xml:space="preserve"> houses or bungalows, or a building containing no more than two domestic </w:t>
            </w:r>
            <w:proofErr w:type="gramStart"/>
            <w:r>
              <w:rPr>
                <w:sz w:val="22"/>
                <w:szCs w:val="22"/>
              </w:rPr>
              <w:t>premises</w:t>
            </w:r>
            <w:proofErr w:type="gramEnd"/>
          </w:p>
          <w:p w14:paraId="45FDF4AD" w14:textId="77777777">
            <w:pPr>
              <w:pStyle w:val="ListParagraph"/>
              <w:ind w:left="0"/>
              <w:rPr>
                <w:rFonts w:ascii="Arial" w:hAnsi="Arial" w:cs="Arial"/>
                <w:color w:val="000000"/>
              </w:rPr>
            </w:pPr>
          </w:p>
        </w:tc>
        <w:tc>
          <w:tcPr>
            <w:tcW w:w="2976" w:type="dxa"/>
          </w:tcPr>
          <w:p w14:paraId="3AA073AE" w14:textId="77777777">
            <w:pPr>
              <w:pStyle w:val="Default"/>
            </w:pPr>
            <w:r>
              <w:rPr>
                <w:sz w:val="22"/>
                <w:szCs w:val="22"/>
              </w:rPr>
              <w:t>At least one of the two properties must be classified by the LA as FP or LIVC (50% eligibility).</w:t>
            </w:r>
          </w:p>
        </w:tc>
        <w:tc>
          <w:tcPr>
            <w:tcW w:w="2552" w:type="dxa"/>
          </w:tcPr>
          <w:p w14:paraId="3882A417" w14:textId="77777777">
            <w:pPr>
              <w:pStyle w:val="Default"/>
            </w:pPr>
            <w:r>
              <w:t>The other property to which it is directly adjoined is eligible for solid wall insulation.</w:t>
            </w:r>
          </w:p>
        </w:tc>
      </w:tr>
      <w:tr w14:paraId="615E4C9D" w14:textId="77777777">
        <w:trPr>
          <w:trHeight w:val="2300"/>
        </w:trPr>
        <w:tc>
          <w:tcPr>
            <w:tcW w:w="2552" w:type="dxa"/>
          </w:tcPr>
          <w:p w14:paraId="097E6960" w14:textId="77777777">
            <w:pPr>
              <w:pStyle w:val="Default"/>
            </w:pPr>
            <w:r>
              <w:t xml:space="preserve">Any other properties that are contained together on a list provided by the LA that are in the same or immediately adjacent buildings </w:t>
            </w:r>
            <w:r>
              <w:rPr>
                <w:sz w:val="12"/>
                <w:szCs w:val="12"/>
              </w:rPr>
              <w:t xml:space="preserve">51 </w:t>
            </w:r>
            <w:r>
              <w:t>or in the same terrace (</w:t>
            </w:r>
            <w:proofErr w:type="gramStart"/>
            <w:r>
              <w:t>e.g.</w:t>
            </w:r>
            <w:proofErr w:type="gramEnd"/>
            <w:r>
              <w:t xml:space="preserve"> flats and terraced houses)</w:t>
            </w:r>
          </w:p>
        </w:tc>
        <w:tc>
          <w:tcPr>
            <w:tcW w:w="2976" w:type="dxa"/>
          </w:tcPr>
          <w:p w14:paraId="519D2CAA" w14:textId="77777777">
            <w:pPr>
              <w:pStyle w:val="ListParagraph"/>
              <w:ind w:left="0"/>
              <w:rPr>
                <w:rFonts w:ascii="Arial" w:hAnsi="Arial" w:cs="Arial"/>
                <w:color w:val="000000"/>
              </w:rPr>
            </w:pPr>
          </w:p>
          <w:p w14:paraId="15C756B8" w14:textId="77777777">
            <w:pPr>
              <w:pStyle w:val="ListParagraph"/>
              <w:ind w:left="0"/>
              <w:rPr>
                <w:rFonts w:ascii="Arial" w:hAnsi="Arial" w:cs="Arial"/>
                <w:color w:val="000000"/>
              </w:rPr>
            </w:pPr>
            <w:r>
              <w:rPr>
                <w:rFonts w:ascii="Arial" w:hAnsi="Arial" w:cs="Arial"/>
                <w:color w:val="000000"/>
              </w:rPr>
              <w:t>At least 50% of the properties listed in the declaration must be classified by the LA as FP or LIVC.</w:t>
            </w:r>
          </w:p>
        </w:tc>
        <w:tc>
          <w:tcPr>
            <w:tcW w:w="2552" w:type="dxa"/>
          </w:tcPr>
          <w:p w14:paraId="1B5685F8" w14:textId="77777777">
            <w:pPr>
              <w:pStyle w:val="Default"/>
            </w:pPr>
            <w:r>
              <w:rPr>
                <w:sz w:val="22"/>
                <w:szCs w:val="22"/>
              </w:rPr>
              <w:t>The Other 50% of properties on the list are eligible for solid wall insulation, provided they are either in the same building, an immediately adjacent building or in the same terrace.</w:t>
            </w:r>
          </w:p>
        </w:tc>
      </w:tr>
    </w:tbl>
    <w:p w14:paraId="79AE14D9" w14:textId="77777777">
      <w:pPr>
        <w:spacing w:after="160" w:line="259" w:lineRule="auto"/>
        <w:ind w:left="720"/>
        <w:rPr>
          <w:rFonts w:ascii="Arial" w:hAnsi="Arial" w:cs="Arial"/>
          <w:color w:val="000000"/>
          <w:sz w:val="20"/>
          <w:szCs w:val="20"/>
        </w:rPr>
      </w:pPr>
    </w:p>
    <w:p w14:paraId="2662C5AA" w14:textId="77777777">
      <w:pPr>
        <w:rPr>
          <w:rFonts w:ascii="Arial" w:hAnsi="Arial" w:cs="Arial"/>
          <w:b/>
          <w:color w:val="000000"/>
          <w:sz w:val="24"/>
          <w:szCs w:val="24"/>
        </w:rPr>
      </w:pPr>
    </w:p>
    <w:p w14:paraId="3645D5E9" w14:textId="77777777">
      <w:pPr>
        <w:rPr>
          <w:rFonts w:ascii="Arial" w:hAnsi="Arial" w:cs="Arial"/>
          <w:b/>
          <w:color w:val="000000"/>
          <w:sz w:val="24"/>
          <w:szCs w:val="24"/>
        </w:rPr>
      </w:pPr>
      <w:r>
        <w:rPr>
          <w:rFonts w:ascii="Arial" w:hAnsi="Arial" w:cs="Arial"/>
          <w:b/>
          <w:color w:val="000000"/>
          <w:sz w:val="24"/>
          <w:szCs w:val="24"/>
        </w:rPr>
        <w:t xml:space="preserve">3. Acting on behalf of another Local Authority </w:t>
      </w:r>
    </w:p>
    <w:p w14:paraId="302C2C9A" w14:textId="77777777">
      <w:pPr>
        <w:ind w:left="426" w:hanging="720"/>
        <w:jc w:val="both"/>
        <w:rPr>
          <w:rFonts w:ascii="Arial" w:hAnsi="Arial" w:cs="Arial"/>
          <w:color w:val="000000"/>
          <w:sz w:val="24"/>
          <w:szCs w:val="24"/>
        </w:rPr>
      </w:pPr>
      <w:r>
        <w:rPr>
          <w:rFonts w:ascii="Arial" w:hAnsi="Arial" w:cs="Arial"/>
          <w:color w:val="000000"/>
          <w:sz w:val="24"/>
          <w:szCs w:val="24"/>
        </w:rPr>
        <w:t xml:space="preserve">     3.1     Inverclyde Council is not acting on behalf on another Local Authority to issue    </w:t>
      </w:r>
      <w:r>
        <w:rPr>
          <w:rFonts w:ascii="Arial" w:hAnsi="Arial" w:cs="Arial"/>
          <w:color w:val="000000"/>
          <w:sz w:val="24"/>
          <w:szCs w:val="24"/>
        </w:rPr>
        <w:tab/>
        <w:t xml:space="preserve">declarations of eligibility. </w:t>
      </w:r>
    </w:p>
    <w:p w14:paraId="29B7EB6F" w14:textId="77777777">
      <w:pPr>
        <w:autoSpaceDE w:val="0"/>
        <w:autoSpaceDN w:val="0"/>
        <w:adjustRightInd w:val="0"/>
        <w:spacing w:after="0"/>
        <w:jc w:val="both"/>
        <w:rPr>
          <w:rFonts w:ascii="Arial" w:hAnsi="Arial" w:cs="Arial"/>
          <w:b/>
          <w:color w:val="000000"/>
          <w:sz w:val="24"/>
          <w:szCs w:val="24"/>
        </w:rPr>
      </w:pPr>
    </w:p>
    <w:p w14:paraId="0FCFD2D9" w14:textId="77777777">
      <w:pPr>
        <w:autoSpaceDE w:val="0"/>
        <w:autoSpaceDN w:val="0"/>
        <w:adjustRightInd w:val="0"/>
        <w:spacing w:after="0"/>
        <w:jc w:val="both"/>
        <w:rPr>
          <w:rFonts w:ascii="Arial" w:hAnsi="Arial" w:cs="Arial"/>
          <w:b/>
          <w:color w:val="000000"/>
          <w:sz w:val="24"/>
          <w:szCs w:val="24"/>
        </w:rPr>
      </w:pPr>
      <w:r>
        <w:rPr>
          <w:rFonts w:ascii="Arial" w:hAnsi="Arial" w:cs="Arial"/>
          <w:b/>
          <w:color w:val="000000"/>
          <w:sz w:val="24"/>
          <w:szCs w:val="24"/>
        </w:rPr>
        <w:t>4. Joint Statement of Intent</w:t>
      </w:r>
    </w:p>
    <w:p w14:paraId="32D89A49" w14:textId="77777777">
      <w:pPr>
        <w:autoSpaceDE w:val="0"/>
        <w:autoSpaceDN w:val="0"/>
        <w:adjustRightInd w:val="0"/>
        <w:spacing w:after="0"/>
        <w:jc w:val="both"/>
        <w:rPr>
          <w:rFonts w:ascii="Arial" w:hAnsi="Arial" w:cs="Arial"/>
          <w:color w:val="000000"/>
          <w:sz w:val="24"/>
          <w:szCs w:val="24"/>
        </w:rPr>
      </w:pPr>
    </w:p>
    <w:p w14:paraId="3AA3B8FD" w14:textId="77777777">
      <w:pPr>
        <w:ind w:left="720" w:hanging="720"/>
        <w:jc w:val="both"/>
        <w:rPr>
          <w:rFonts w:ascii="Arial" w:hAnsi="Arial" w:cs="Arial"/>
          <w:color w:val="000000"/>
          <w:sz w:val="24"/>
          <w:szCs w:val="24"/>
        </w:rPr>
      </w:pPr>
      <w:r>
        <w:rPr>
          <w:rFonts w:ascii="Arial" w:hAnsi="Arial" w:cs="Arial"/>
          <w:color w:val="000000"/>
          <w:sz w:val="24"/>
          <w:szCs w:val="24"/>
        </w:rPr>
        <w:t>4.1</w:t>
      </w:r>
      <w:r>
        <w:rPr>
          <w:rFonts w:ascii="Arial" w:hAnsi="Arial" w:cs="Arial"/>
          <w:color w:val="000000"/>
          <w:sz w:val="24"/>
          <w:szCs w:val="24"/>
        </w:rPr>
        <w:tab/>
        <w:t xml:space="preserve">Inverclyde Council do not intend to issue a joint </w:t>
      </w:r>
      <w:proofErr w:type="spellStart"/>
      <w:r>
        <w:rPr>
          <w:rFonts w:ascii="Arial" w:hAnsi="Arial" w:cs="Arial"/>
          <w:color w:val="000000"/>
          <w:sz w:val="24"/>
          <w:szCs w:val="24"/>
        </w:rPr>
        <w:t>SoI</w:t>
      </w:r>
      <w:proofErr w:type="spellEnd"/>
      <w:r>
        <w:rPr>
          <w:rFonts w:ascii="Arial" w:hAnsi="Arial" w:cs="Arial"/>
          <w:color w:val="000000"/>
          <w:sz w:val="24"/>
          <w:szCs w:val="24"/>
        </w:rPr>
        <w:t xml:space="preserve"> with another Local Authority. </w:t>
      </w:r>
    </w:p>
    <w:p w14:paraId="35FC8CEA" w14:textId="77777777">
      <w:pPr>
        <w:jc w:val="both"/>
        <w:rPr>
          <w:rFonts w:ascii="Arial" w:hAnsi="Arial" w:cs="Arial"/>
          <w:b/>
          <w:color w:val="000000"/>
          <w:sz w:val="24"/>
          <w:szCs w:val="24"/>
        </w:rPr>
      </w:pPr>
      <w:r>
        <w:rPr>
          <w:rFonts w:ascii="Arial" w:hAnsi="Arial" w:cs="Arial"/>
          <w:b/>
          <w:color w:val="000000"/>
          <w:sz w:val="24"/>
          <w:szCs w:val="24"/>
        </w:rPr>
        <w:t>5. Governance</w:t>
      </w:r>
    </w:p>
    <w:p w14:paraId="34B6C008" w14:textId="77777777">
      <w:pPr>
        <w:ind w:left="720" w:hanging="720"/>
        <w:jc w:val="both"/>
        <w:rPr>
          <w:rFonts w:ascii="Arial" w:hAnsi="Arial" w:cs="Arial"/>
          <w:color w:val="000000"/>
          <w:sz w:val="24"/>
          <w:szCs w:val="24"/>
        </w:rPr>
      </w:pPr>
      <w:r>
        <w:rPr>
          <w:rFonts w:ascii="Arial" w:hAnsi="Arial" w:cs="Arial"/>
          <w:color w:val="000000"/>
          <w:sz w:val="24"/>
          <w:szCs w:val="24"/>
        </w:rPr>
        <w:t>5.1</w:t>
      </w:r>
      <w:r>
        <w:rPr>
          <w:rFonts w:ascii="Arial" w:hAnsi="Arial" w:cs="Arial"/>
          <w:color w:val="000000"/>
          <w:sz w:val="24"/>
          <w:szCs w:val="24"/>
        </w:rPr>
        <w:tab/>
        <w:t>The ECO3 order states that LA’s must be consulted in the installation of a measure under flexible eligibility by suppliers.</w:t>
      </w:r>
    </w:p>
    <w:p w14:paraId="61F1B045" w14:textId="77777777">
      <w:pPr>
        <w:autoSpaceDE w:val="0"/>
        <w:autoSpaceDN w:val="0"/>
        <w:adjustRightInd w:val="0"/>
        <w:spacing w:after="0"/>
        <w:ind w:left="720" w:hanging="720"/>
        <w:jc w:val="both"/>
        <w:rPr>
          <w:rFonts w:ascii="Arial" w:hAnsi="Arial" w:cs="Arial"/>
          <w:color w:val="000000"/>
          <w:sz w:val="24"/>
          <w:szCs w:val="24"/>
        </w:rPr>
      </w:pPr>
      <w:r>
        <w:rPr>
          <w:rFonts w:ascii="Arial" w:hAnsi="Arial" w:cs="Arial"/>
          <w:color w:val="000000"/>
          <w:sz w:val="24"/>
          <w:szCs w:val="24"/>
        </w:rPr>
        <w:t>5.2</w:t>
      </w:r>
      <w:r>
        <w:rPr>
          <w:rFonts w:ascii="Arial" w:hAnsi="Arial" w:cs="Arial"/>
          <w:color w:val="000000"/>
          <w:sz w:val="24"/>
          <w:szCs w:val="24"/>
        </w:rPr>
        <w:tab/>
        <w:t xml:space="preserve">In order to access </w:t>
      </w:r>
      <w:r>
        <w:rPr>
          <w:rFonts w:ascii="Arial" w:hAnsi="Arial" w:cs="Arial"/>
          <w:sz w:val="24"/>
          <w:szCs w:val="24"/>
        </w:rPr>
        <w:t>Flexible ECO Eligibility Affordable Warmth funding</w:t>
      </w:r>
      <w:r>
        <w:rPr>
          <w:rFonts w:ascii="Arial" w:hAnsi="Arial" w:cs="Arial"/>
          <w:color w:val="000000"/>
          <w:sz w:val="24"/>
          <w:szCs w:val="24"/>
        </w:rPr>
        <w:t xml:space="preserve">, the Council is required to submit a LA Declaration to the ECO supplier, in a form determined by BEIS.  The final decision on whether a household receives ECO measures is made by the energy suppliers and therefore inclusion in a declaration will not guarantee installation of measures. </w:t>
      </w:r>
    </w:p>
    <w:p w14:paraId="10043E35" w14:textId="77777777">
      <w:pPr>
        <w:autoSpaceDE w:val="0"/>
        <w:autoSpaceDN w:val="0"/>
        <w:adjustRightInd w:val="0"/>
        <w:spacing w:after="0"/>
        <w:ind w:left="720" w:hanging="720"/>
        <w:jc w:val="both"/>
        <w:rPr>
          <w:rFonts w:ascii="Arial" w:hAnsi="Arial" w:cs="Arial"/>
          <w:color w:val="000000"/>
          <w:sz w:val="24"/>
          <w:szCs w:val="24"/>
        </w:rPr>
      </w:pPr>
    </w:p>
    <w:p w14:paraId="0DD32364" w14:textId="77777777">
      <w:pPr>
        <w:autoSpaceDE w:val="0"/>
        <w:autoSpaceDN w:val="0"/>
        <w:adjustRightInd w:val="0"/>
        <w:spacing w:after="0"/>
        <w:ind w:left="720" w:hanging="720"/>
        <w:jc w:val="both"/>
        <w:rPr>
          <w:rFonts w:ascii="Arial" w:hAnsi="Arial" w:cs="Arial"/>
          <w:color w:val="000000"/>
          <w:sz w:val="24"/>
          <w:szCs w:val="24"/>
        </w:rPr>
      </w:pPr>
    </w:p>
    <w:p w14:paraId="78016647" w14:textId="77777777">
      <w:pPr>
        <w:autoSpaceDE w:val="0"/>
        <w:autoSpaceDN w:val="0"/>
        <w:adjustRightInd w:val="0"/>
        <w:spacing w:after="0"/>
        <w:ind w:firstLine="720"/>
        <w:jc w:val="both"/>
        <w:rPr>
          <w:rFonts w:ascii="Arial" w:hAnsi="Arial" w:cs="Arial"/>
          <w:color w:val="000000"/>
          <w:sz w:val="24"/>
          <w:szCs w:val="24"/>
        </w:rPr>
      </w:pPr>
      <w:r>
        <w:rPr>
          <w:rFonts w:ascii="Arial" w:hAnsi="Arial" w:cs="Arial"/>
          <w:color w:val="000000"/>
          <w:sz w:val="24"/>
          <w:szCs w:val="24"/>
        </w:rPr>
        <w:t xml:space="preserve">The final decision will depend on: </w:t>
      </w:r>
    </w:p>
    <w:p w14:paraId="68BD9F69" w14:textId="77777777">
      <w:pPr>
        <w:pStyle w:val="ListParagraph"/>
        <w:numPr>
          <w:ilvl w:val="0"/>
          <w:numId w:val="14"/>
        </w:numPr>
        <w:autoSpaceDE w:val="0"/>
        <w:autoSpaceDN w:val="0"/>
        <w:adjustRightInd w:val="0"/>
        <w:spacing w:after="18"/>
        <w:jc w:val="both"/>
        <w:rPr>
          <w:rFonts w:ascii="Arial" w:hAnsi="Arial" w:cs="Arial"/>
          <w:color w:val="000000"/>
          <w:sz w:val="24"/>
          <w:szCs w:val="24"/>
        </w:rPr>
      </w:pPr>
      <w:r>
        <w:rPr>
          <w:rFonts w:ascii="Arial" w:hAnsi="Arial" w:cs="Arial"/>
          <w:color w:val="000000"/>
          <w:sz w:val="24"/>
          <w:szCs w:val="24"/>
        </w:rPr>
        <w:lastRenderedPageBreak/>
        <w:t xml:space="preserve">the survey carried out on the property and the installation costs </w:t>
      </w:r>
      <w:proofErr w:type="gramStart"/>
      <w:r>
        <w:rPr>
          <w:rFonts w:ascii="Arial" w:hAnsi="Arial" w:cs="Arial"/>
          <w:color w:val="000000"/>
          <w:sz w:val="24"/>
          <w:szCs w:val="24"/>
        </w:rPr>
        <w:t>calculated</w:t>
      </w:r>
      <w:proofErr w:type="gramEnd"/>
      <w:r>
        <w:rPr>
          <w:rFonts w:ascii="Arial" w:hAnsi="Arial" w:cs="Arial"/>
          <w:color w:val="000000"/>
          <w:sz w:val="24"/>
          <w:szCs w:val="24"/>
        </w:rPr>
        <w:t xml:space="preserve"> </w:t>
      </w:r>
    </w:p>
    <w:p w14:paraId="4D997575" w14:textId="77777777">
      <w:pPr>
        <w:pStyle w:val="ListParagraph"/>
        <w:numPr>
          <w:ilvl w:val="0"/>
          <w:numId w:val="14"/>
        </w:numPr>
        <w:autoSpaceDE w:val="0"/>
        <w:autoSpaceDN w:val="0"/>
        <w:adjustRightInd w:val="0"/>
        <w:spacing w:after="18"/>
        <w:jc w:val="both"/>
        <w:rPr>
          <w:rFonts w:ascii="Arial" w:hAnsi="Arial" w:cs="Arial"/>
          <w:color w:val="000000"/>
          <w:sz w:val="24"/>
          <w:szCs w:val="24"/>
        </w:rPr>
      </w:pPr>
      <w:r>
        <w:rPr>
          <w:rFonts w:ascii="Arial" w:hAnsi="Arial" w:cs="Arial"/>
          <w:color w:val="000000"/>
          <w:sz w:val="24"/>
          <w:szCs w:val="24"/>
        </w:rPr>
        <w:t xml:space="preserve">the energy savings that can be achieved for a </w:t>
      </w:r>
      <w:proofErr w:type="gramStart"/>
      <w:r>
        <w:rPr>
          <w:rFonts w:ascii="Arial" w:hAnsi="Arial" w:cs="Arial"/>
          <w:color w:val="000000"/>
          <w:sz w:val="24"/>
          <w:szCs w:val="24"/>
        </w:rPr>
        <w:t>property</w:t>
      </w:r>
      <w:proofErr w:type="gramEnd"/>
      <w:r>
        <w:rPr>
          <w:rFonts w:ascii="Arial" w:hAnsi="Arial" w:cs="Arial"/>
          <w:color w:val="000000"/>
          <w:sz w:val="24"/>
          <w:szCs w:val="24"/>
        </w:rPr>
        <w:t xml:space="preserve"> </w:t>
      </w:r>
    </w:p>
    <w:p w14:paraId="133BDC14" w14:textId="77777777">
      <w:pPr>
        <w:pStyle w:val="ListParagraph"/>
        <w:numPr>
          <w:ilvl w:val="0"/>
          <w:numId w:val="14"/>
        </w:numPr>
        <w:autoSpaceDE w:val="0"/>
        <w:autoSpaceDN w:val="0"/>
        <w:adjustRightInd w:val="0"/>
        <w:spacing w:after="18"/>
        <w:jc w:val="both"/>
        <w:rPr>
          <w:rFonts w:ascii="Arial" w:hAnsi="Arial" w:cs="Arial"/>
          <w:color w:val="000000"/>
          <w:sz w:val="24"/>
          <w:szCs w:val="24"/>
        </w:rPr>
      </w:pPr>
      <w:r>
        <w:rPr>
          <w:rFonts w:ascii="Arial" w:hAnsi="Arial" w:cs="Arial"/>
          <w:color w:val="000000"/>
          <w:sz w:val="24"/>
          <w:szCs w:val="24"/>
        </w:rPr>
        <w:t xml:space="preserve">there is adequate funding to support ECO funding for the installation of the energy efficiency </w:t>
      </w:r>
      <w:proofErr w:type="gramStart"/>
      <w:r>
        <w:rPr>
          <w:rFonts w:ascii="Arial" w:hAnsi="Arial" w:cs="Arial"/>
          <w:color w:val="000000"/>
          <w:sz w:val="24"/>
          <w:szCs w:val="24"/>
        </w:rPr>
        <w:t>measures</w:t>
      </w:r>
      <w:proofErr w:type="gramEnd"/>
      <w:r>
        <w:rPr>
          <w:rFonts w:ascii="Arial" w:hAnsi="Arial" w:cs="Arial"/>
          <w:color w:val="000000"/>
          <w:sz w:val="24"/>
          <w:szCs w:val="24"/>
        </w:rPr>
        <w:t xml:space="preserve"> </w:t>
      </w:r>
    </w:p>
    <w:p w14:paraId="7A76A52F" w14:textId="77777777">
      <w:pPr>
        <w:pStyle w:val="ListParagraph"/>
        <w:numPr>
          <w:ilvl w:val="0"/>
          <w:numId w:val="14"/>
        </w:num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 xml:space="preserve">whether ECO obligated parties have achieved their targets to require further measures to meet their ECO targets </w:t>
      </w:r>
    </w:p>
    <w:p w14:paraId="34ABE593" w14:textId="77777777">
      <w:pPr>
        <w:ind w:left="720" w:hanging="720"/>
        <w:jc w:val="both"/>
        <w:rPr>
          <w:rFonts w:ascii="Arial" w:hAnsi="Arial" w:cs="Arial"/>
          <w:color w:val="000000"/>
          <w:sz w:val="24"/>
          <w:szCs w:val="24"/>
        </w:rPr>
      </w:pPr>
    </w:p>
    <w:p w14:paraId="419308A7" w14:textId="77777777">
      <w:pPr>
        <w:ind w:left="720" w:hanging="720"/>
        <w:jc w:val="both"/>
        <w:rPr>
          <w:rFonts w:ascii="Arial" w:hAnsi="Arial" w:cs="Arial"/>
          <w:color w:val="000000"/>
          <w:sz w:val="24"/>
          <w:szCs w:val="24"/>
        </w:rPr>
      </w:pPr>
      <w:r>
        <w:rPr>
          <w:rFonts w:ascii="Arial" w:hAnsi="Arial" w:cs="Arial"/>
          <w:color w:val="000000"/>
          <w:sz w:val="24"/>
          <w:szCs w:val="24"/>
        </w:rPr>
        <w:t>5.3</w:t>
      </w:r>
      <w:r>
        <w:rPr>
          <w:rFonts w:ascii="Arial" w:hAnsi="Arial" w:cs="Arial"/>
          <w:color w:val="000000"/>
          <w:sz w:val="24"/>
          <w:szCs w:val="24"/>
        </w:rPr>
        <w:tab/>
        <w:t xml:space="preserve">The Council’s Delivery Partner will be responsible for collating household data to determine if the householder meets the </w:t>
      </w:r>
      <w:r>
        <w:rPr>
          <w:rFonts w:ascii="Arial" w:hAnsi="Arial" w:cs="Arial"/>
          <w:sz w:val="24"/>
          <w:szCs w:val="24"/>
        </w:rPr>
        <w:t>Flexible ECO Eligibility Affordable Warmth funding</w:t>
      </w:r>
      <w:r>
        <w:rPr>
          <w:rFonts w:ascii="Arial" w:hAnsi="Arial" w:cs="Arial"/>
          <w:color w:val="000000"/>
          <w:sz w:val="24"/>
          <w:szCs w:val="24"/>
        </w:rPr>
        <w:t xml:space="preserve"> criteria.  The Delivery Partner will complete an LA Declaration for each householder and will state if eligibility has been met through:</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p>
    <w:p w14:paraId="40BFB6C0" w14:textId="77777777">
      <w:pPr>
        <w:pStyle w:val="ListParagraph"/>
        <w:numPr>
          <w:ilvl w:val="0"/>
          <w:numId w:val="24"/>
        </w:numPr>
        <w:jc w:val="both"/>
        <w:rPr>
          <w:rFonts w:ascii="Arial" w:hAnsi="Arial" w:cs="Arial"/>
          <w:color w:val="000000"/>
          <w:sz w:val="24"/>
          <w:szCs w:val="24"/>
        </w:rPr>
      </w:pPr>
      <w:r>
        <w:rPr>
          <w:rFonts w:ascii="Arial" w:hAnsi="Arial" w:cs="Arial"/>
          <w:color w:val="000000"/>
          <w:sz w:val="24"/>
          <w:szCs w:val="24"/>
        </w:rPr>
        <w:t>living in fuel poverty</w:t>
      </w:r>
    </w:p>
    <w:p w14:paraId="15D2B38D" w14:textId="77777777">
      <w:pPr>
        <w:pStyle w:val="ListParagraph"/>
        <w:numPr>
          <w:ilvl w:val="0"/>
          <w:numId w:val="24"/>
        </w:numPr>
        <w:jc w:val="both"/>
        <w:rPr>
          <w:rFonts w:ascii="Arial" w:hAnsi="Arial" w:cs="Arial"/>
          <w:color w:val="000000"/>
          <w:sz w:val="24"/>
          <w:szCs w:val="24"/>
        </w:rPr>
      </w:pPr>
      <w:r>
        <w:rPr>
          <w:rFonts w:ascii="Arial" w:hAnsi="Arial" w:cs="Arial"/>
          <w:color w:val="000000"/>
          <w:sz w:val="24"/>
          <w:szCs w:val="24"/>
        </w:rPr>
        <w:t>living on a low income and vulnerable to effects of a cold home</w:t>
      </w:r>
    </w:p>
    <w:p w14:paraId="4F3EECDB" w14:textId="77777777">
      <w:pPr>
        <w:pStyle w:val="ListParagraph"/>
        <w:numPr>
          <w:ilvl w:val="0"/>
          <w:numId w:val="24"/>
        </w:numPr>
        <w:jc w:val="both"/>
        <w:rPr>
          <w:rFonts w:ascii="Arial" w:hAnsi="Arial" w:cs="Arial"/>
          <w:color w:val="000000"/>
          <w:sz w:val="24"/>
          <w:szCs w:val="24"/>
        </w:rPr>
      </w:pPr>
      <w:r>
        <w:rPr>
          <w:rFonts w:ascii="Arial" w:hAnsi="Arial" w:cs="Arial"/>
          <w:color w:val="000000"/>
          <w:sz w:val="24"/>
          <w:szCs w:val="24"/>
        </w:rPr>
        <w:t xml:space="preserve">solid wall, non-traditional and HTTC ‘in fill’ </w:t>
      </w:r>
    </w:p>
    <w:p w14:paraId="3C117616" w14:textId="77777777">
      <w:pPr>
        <w:ind w:left="720" w:hanging="720"/>
        <w:jc w:val="both"/>
        <w:rPr>
          <w:rFonts w:ascii="Arial" w:hAnsi="Arial" w:cs="Arial"/>
          <w:color w:val="000000"/>
          <w:sz w:val="24"/>
          <w:szCs w:val="24"/>
        </w:rPr>
      </w:pPr>
      <w:r>
        <w:rPr>
          <w:rFonts w:ascii="Arial" w:hAnsi="Arial" w:cs="Arial"/>
          <w:color w:val="000000"/>
          <w:sz w:val="24"/>
          <w:szCs w:val="24"/>
        </w:rPr>
        <w:t>5.4</w:t>
      </w:r>
      <w:r>
        <w:rPr>
          <w:rFonts w:ascii="Arial" w:hAnsi="Arial" w:cs="Arial"/>
          <w:color w:val="000000"/>
          <w:sz w:val="24"/>
          <w:szCs w:val="24"/>
        </w:rPr>
        <w:tab/>
        <w:t xml:space="preserve">All declarations must be submitted by the Council and signed by an approved officer.  The officers responsible for signing and issuing declarations on behalf of the Council are the based within: </w:t>
      </w:r>
    </w:p>
    <w:p w14:paraId="04EBEC62" w14:textId="77777777">
      <w:pPr>
        <w:ind w:firstLine="720"/>
        <w:jc w:val="both"/>
        <w:rPr>
          <w:rFonts w:ascii="Arial" w:hAnsi="Arial" w:cs="Arial"/>
          <w:b/>
          <w:color w:val="000000"/>
          <w:sz w:val="24"/>
          <w:szCs w:val="24"/>
        </w:rPr>
      </w:pPr>
      <w:r>
        <w:rPr>
          <w:rFonts w:ascii="Arial" w:hAnsi="Arial" w:cs="Arial"/>
          <w:b/>
          <w:color w:val="000000"/>
          <w:sz w:val="24"/>
          <w:szCs w:val="24"/>
        </w:rPr>
        <w:t>Public Protection</w:t>
      </w:r>
    </w:p>
    <w:p w14:paraId="69D81C87" w14:textId="77777777">
      <w:pPr>
        <w:ind w:firstLine="720"/>
        <w:jc w:val="both"/>
        <w:rPr>
          <w:rFonts w:ascii="Arial" w:hAnsi="Arial" w:cs="Arial"/>
          <w:b/>
          <w:color w:val="000000"/>
          <w:sz w:val="24"/>
          <w:szCs w:val="24"/>
        </w:rPr>
      </w:pPr>
      <w:r>
        <w:rPr>
          <w:rFonts w:ascii="Arial" w:hAnsi="Arial" w:cs="Arial"/>
          <w:b/>
          <w:color w:val="000000"/>
          <w:sz w:val="24"/>
          <w:szCs w:val="24"/>
        </w:rPr>
        <w:t>The James Watt Building</w:t>
      </w:r>
    </w:p>
    <w:p w14:paraId="22CB5856" w14:textId="77777777">
      <w:pPr>
        <w:ind w:firstLine="720"/>
        <w:jc w:val="both"/>
        <w:rPr>
          <w:rFonts w:ascii="Arial" w:hAnsi="Arial" w:cs="Arial"/>
          <w:b/>
          <w:color w:val="000000"/>
          <w:sz w:val="24"/>
          <w:szCs w:val="24"/>
        </w:rPr>
      </w:pPr>
      <w:r>
        <w:rPr>
          <w:rFonts w:ascii="Arial" w:hAnsi="Arial" w:cs="Arial"/>
          <w:b/>
          <w:color w:val="000000"/>
          <w:sz w:val="24"/>
          <w:szCs w:val="24"/>
        </w:rPr>
        <w:t>105 Dalrymple Street</w:t>
      </w:r>
    </w:p>
    <w:p w14:paraId="6E08A74B" w14:textId="77777777">
      <w:pPr>
        <w:ind w:firstLine="720"/>
        <w:jc w:val="both"/>
        <w:rPr>
          <w:rFonts w:ascii="Arial" w:hAnsi="Arial" w:cs="Arial"/>
          <w:b/>
          <w:color w:val="000000"/>
          <w:sz w:val="24"/>
          <w:szCs w:val="24"/>
        </w:rPr>
      </w:pPr>
      <w:r>
        <w:rPr>
          <w:rFonts w:ascii="Arial" w:hAnsi="Arial" w:cs="Arial"/>
          <w:b/>
          <w:color w:val="000000"/>
          <w:sz w:val="24"/>
          <w:szCs w:val="24"/>
        </w:rPr>
        <w:t xml:space="preserve">Greenock </w:t>
      </w:r>
    </w:p>
    <w:p w14:paraId="5D06D018" w14:textId="77777777">
      <w:pPr>
        <w:ind w:firstLine="720"/>
        <w:jc w:val="both"/>
        <w:rPr>
          <w:rFonts w:ascii="Arial" w:hAnsi="Arial" w:cs="Arial"/>
          <w:b/>
          <w:color w:val="000000"/>
          <w:sz w:val="24"/>
          <w:szCs w:val="24"/>
        </w:rPr>
      </w:pPr>
      <w:r>
        <w:rPr>
          <w:rFonts w:ascii="Arial" w:hAnsi="Arial" w:cs="Arial"/>
          <w:b/>
          <w:color w:val="000000"/>
          <w:sz w:val="24"/>
          <w:szCs w:val="24"/>
        </w:rPr>
        <w:t>PA15 1HU</w:t>
      </w:r>
    </w:p>
    <w:p w14:paraId="696A1FA1" w14:textId="77777777">
      <w:pPr>
        <w:pStyle w:val="Default"/>
        <w:jc w:val="both"/>
        <w:rPr>
          <w:b/>
        </w:rPr>
      </w:pPr>
    </w:p>
    <w:p w14:paraId="274C4772" w14:textId="77777777">
      <w:pPr>
        <w:pStyle w:val="Default"/>
        <w:jc w:val="both"/>
        <w:rPr>
          <w:b/>
        </w:rPr>
      </w:pPr>
      <w:r>
        <w:rPr>
          <w:b/>
        </w:rPr>
        <w:t xml:space="preserve">6. Referrals </w:t>
      </w:r>
    </w:p>
    <w:p w14:paraId="345D9FBB" w14:textId="77777777">
      <w:pPr>
        <w:pStyle w:val="Default"/>
        <w:jc w:val="both"/>
      </w:pPr>
    </w:p>
    <w:p w14:paraId="06C58F12" w14:textId="77777777">
      <w:pPr>
        <w:ind w:left="720" w:hanging="720"/>
        <w:jc w:val="both"/>
        <w:rPr>
          <w:rFonts w:ascii="Arial" w:hAnsi="Arial" w:cs="Arial"/>
          <w:color w:val="000000"/>
          <w:sz w:val="24"/>
          <w:szCs w:val="24"/>
        </w:rPr>
      </w:pPr>
      <w:r>
        <w:rPr>
          <w:rFonts w:ascii="Arial" w:hAnsi="Arial" w:cs="Arial"/>
          <w:color w:val="000000"/>
          <w:sz w:val="24"/>
          <w:szCs w:val="24"/>
        </w:rPr>
        <w:t>6.1</w:t>
      </w:r>
      <w:r>
        <w:rPr>
          <w:rFonts w:ascii="Arial" w:hAnsi="Arial" w:cs="Arial"/>
          <w:color w:val="000000"/>
          <w:sz w:val="24"/>
          <w:szCs w:val="24"/>
        </w:rPr>
        <w:tab/>
        <w:t xml:space="preserve">Referrals for flexible ECO Affordable Warmth funding will be accepted from Home Energy Scotland (HES).  </w:t>
      </w:r>
      <w:r>
        <w:rPr>
          <w:rFonts w:ascii="Arial" w:hAnsi="Arial"/>
          <w:sz w:val="24"/>
          <w:szCs w:val="24"/>
        </w:rPr>
        <w:t xml:space="preserve">HES is funded by the Scottish Government and delivered by Energy Saving Trust and currently managed by the Wise group.  Telephone advisors can answer questions about heating and insulating your home, saving </w:t>
      </w:r>
      <w:proofErr w:type="gramStart"/>
      <w:r>
        <w:rPr>
          <w:rFonts w:ascii="Arial" w:hAnsi="Arial"/>
          <w:sz w:val="24"/>
          <w:szCs w:val="24"/>
        </w:rPr>
        <w:t>energy</w:t>
      </w:r>
      <w:proofErr w:type="gramEnd"/>
      <w:r>
        <w:rPr>
          <w:rFonts w:ascii="Arial" w:hAnsi="Arial"/>
          <w:sz w:val="24"/>
          <w:szCs w:val="24"/>
        </w:rPr>
        <w:t xml:space="preserve"> and cutting costs, and refer on to delivery partners where appropriate.  In the first instance, the council will refer all energy efficiency enquiries direct to HES.</w:t>
      </w:r>
    </w:p>
    <w:p w14:paraId="640E599D" w14:textId="77777777">
      <w:pPr>
        <w:pStyle w:val="Default"/>
        <w:ind w:left="720"/>
        <w:jc w:val="both"/>
      </w:pPr>
      <w:r>
        <w:t>The delivery of ABS programme is managed on behalf of the Council by their Delivery Partner, also currently the Wise Group, providing a direct link with HES.</w:t>
      </w:r>
    </w:p>
    <w:p w14:paraId="1590BF18" w14:textId="77777777">
      <w:pPr>
        <w:pStyle w:val="Default"/>
        <w:jc w:val="both"/>
      </w:pPr>
    </w:p>
    <w:p w14:paraId="6CFFB423" w14:textId="77777777">
      <w:pPr>
        <w:ind w:left="720"/>
        <w:jc w:val="both"/>
        <w:rPr>
          <w:rFonts w:ascii="Arial" w:hAnsi="Arial" w:cs="Arial"/>
          <w:color w:val="000000"/>
          <w:sz w:val="24"/>
          <w:szCs w:val="24"/>
        </w:rPr>
      </w:pPr>
      <w:r>
        <w:rPr>
          <w:rFonts w:ascii="Arial" w:hAnsi="Arial" w:cs="Arial"/>
          <w:color w:val="000000"/>
          <w:sz w:val="24"/>
          <w:szCs w:val="24"/>
        </w:rPr>
        <w:t xml:space="preserve">Referrals for Flexible ECO Affordable Warmth funding </w:t>
      </w:r>
      <w:proofErr w:type="gramStart"/>
      <w:r>
        <w:rPr>
          <w:rFonts w:ascii="Arial" w:hAnsi="Arial" w:cs="Arial"/>
          <w:color w:val="000000"/>
          <w:sz w:val="24"/>
          <w:szCs w:val="24"/>
        </w:rPr>
        <w:t>will be also be</w:t>
      </w:r>
      <w:proofErr w:type="gramEnd"/>
      <w:r>
        <w:rPr>
          <w:rFonts w:ascii="Arial" w:hAnsi="Arial" w:cs="Arial"/>
          <w:color w:val="000000"/>
          <w:sz w:val="24"/>
          <w:szCs w:val="24"/>
        </w:rPr>
        <w:t xml:space="preserve"> accepted from HEEPS Works Contractors. </w:t>
      </w:r>
    </w:p>
    <w:p w14:paraId="28AE9A4D" w14:textId="77777777">
      <w:pPr>
        <w:ind w:firstLine="720"/>
        <w:jc w:val="both"/>
        <w:rPr>
          <w:rFonts w:ascii="Arial" w:hAnsi="Arial" w:cs="Arial"/>
          <w:color w:val="000000"/>
          <w:sz w:val="24"/>
          <w:szCs w:val="24"/>
        </w:rPr>
      </w:pPr>
      <w:r>
        <w:rPr>
          <w:rFonts w:ascii="Arial" w:hAnsi="Arial" w:cs="Arial"/>
          <w:color w:val="000000"/>
          <w:sz w:val="24"/>
          <w:szCs w:val="24"/>
        </w:rPr>
        <w:t>HES Telephone 0800 808 2282</w:t>
      </w:r>
    </w:p>
    <w:p w14:paraId="4D6251EA" w14:textId="77777777">
      <w:pPr>
        <w:ind w:left="720" w:firstLine="720"/>
        <w:jc w:val="both"/>
        <w:rPr>
          <w:rFonts w:ascii="Arial" w:hAnsi="Arial" w:cs="Arial"/>
          <w:color w:val="000000"/>
          <w:sz w:val="24"/>
          <w:szCs w:val="24"/>
        </w:rPr>
      </w:pPr>
      <w:hyperlink r:id="rId10" w:history="1">
        <w:r>
          <w:rPr>
            <w:rStyle w:val="Hyperlink"/>
            <w:rFonts w:ascii="Arial" w:hAnsi="Arial" w:cs="Arial"/>
            <w:sz w:val="24"/>
            <w:szCs w:val="24"/>
          </w:rPr>
          <w:t>http://www.energysavingtrust.org.uk/scotland/home-energy-scotland</w:t>
        </w:r>
      </w:hyperlink>
    </w:p>
    <w:p w14:paraId="4FED64F5" w14:textId="77777777">
      <w:pPr>
        <w:ind w:left="720"/>
        <w:jc w:val="both"/>
        <w:rPr>
          <w:rFonts w:ascii="Arial" w:hAnsi="Arial" w:cs="Arial"/>
          <w:color w:val="000000"/>
          <w:sz w:val="24"/>
          <w:szCs w:val="24"/>
        </w:rPr>
      </w:pPr>
      <w:r>
        <w:rPr>
          <w:rFonts w:ascii="Arial" w:hAnsi="Arial" w:cs="Arial"/>
          <w:color w:val="000000"/>
          <w:sz w:val="24"/>
          <w:szCs w:val="24"/>
        </w:rPr>
        <w:lastRenderedPageBreak/>
        <w:t xml:space="preserve">All referral information will be handled in accordance with the Data Protection Act and retained for the purposes of evidence, monitoring and reporting. </w:t>
      </w:r>
    </w:p>
    <w:p w14:paraId="6146FADF" w14:textId="77777777">
      <w:pPr>
        <w:autoSpaceDE w:val="0"/>
        <w:autoSpaceDN w:val="0"/>
        <w:adjustRightInd w:val="0"/>
        <w:spacing w:after="0"/>
        <w:jc w:val="both"/>
        <w:rPr>
          <w:rFonts w:ascii="Arial" w:hAnsi="Arial"/>
          <w:b/>
          <w:bCs/>
          <w:color w:val="000000"/>
          <w:sz w:val="24"/>
          <w:szCs w:val="24"/>
        </w:rPr>
      </w:pPr>
    </w:p>
    <w:p w14:paraId="7B131E1E" w14:textId="77777777">
      <w:pPr>
        <w:jc w:val="both"/>
        <w:rPr>
          <w:rFonts w:ascii="Arial" w:hAnsi="Arial" w:cs="Arial"/>
          <w:b/>
          <w:color w:val="000000"/>
          <w:sz w:val="24"/>
          <w:szCs w:val="24"/>
        </w:rPr>
      </w:pPr>
      <w:r>
        <w:rPr>
          <w:rFonts w:ascii="Arial" w:hAnsi="Arial" w:cs="Arial"/>
          <w:b/>
          <w:color w:val="000000"/>
          <w:sz w:val="24"/>
          <w:szCs w:val="24"/>
        </w:rPr>
        <w:t xml:space="preserve">7. Evaluation, Evidence and Reporting </w:t>
      </w:r>
    </w:p>
    <w:p w14:paraId="27774E53" w14:textId="77777777">
      <w:pPr>
        <w:ind w:left="720" w:hanging="720"/>
        <w:jc w:val="both"/>
        <w:rPr>
          <w:rFonts w:ascii="Arial" w:hAnsi="Arial" w:cs="Arial"/>
          <w:color w:val="000000"/>
          <w:sz w:val="24"/>
          <w:szCs w:val="24"/>
        </w:rPr>
      </w:pPr>
      <w:r>
        <w:rPr>
          <w:rFonts w:ascii="Arial" w:hAnsi="Arial" w:cs="Arial"/>
          <w:color w:val="000000"/>
          <w:sz w:val="24"/>
          <w:szCs w:val="24"/>
        </w:rPr>
        <w:t xml:space="preserve">7.1 </w:t>
      </w:r>
      <w:r>
        <w:rPr>
          <w:rFonts w:ascii="Arial" w:hAnsi="Arial" w:cs="Arial"/>
          <w:color w:val="000000"/>
          <w:sz w:val="24"/>
          <w:szCs w:val="24"/>
        </w:rPr>
        <w:tab/>
        <w:t>To facilitate internal monitoring and reports the Council and their Delivery Partner will be required to evidence records to support household eligibility and information received from suppliers or installers on measures installed.</w:t>
      </w:r>
    </w:p>
    <w:p w14:paraId="27048F82" w14:textId="77777777">
      <w:pPr>
        <w:ind w:left="720" w:hanging="720"/>
        <w:jc w:val="both"/>
        <w:rPr>
          <w:rFonts w:ascii="Arial" w:hAnsi="Arial" w:cs="Arial"/>
          <w:color w:val="000000"/>
          <w:sz w:val="24"/>
          <w:szCs w:val="24"/>
        </w:rPr>
      </w:pPr>
      <w:r>
        <w:rPr>
          <w:rFonts w:ascii="Arial" w:hAnsi="Arial" w:cs="Arial"/>
          <w:color w:val="000000"/>
          <w:sz w:val="24"/>
          <w:szCs w:val="24"/>
        </w:rPr>
        <w:t>7.2</w:t>
      </w:r>
      <w:r>
        <w:rPr>
          <w:rFonts w:ascii="Arial" w:hAnsi="Arial" w:cs="Arial"/>
          <w:color w:val="000000"/>
          <w:sz w:val="24"/>
          <w:szCs w:val="24"/>
        </w:rPr>
        <w:tab/>
        <w:t xml:space="preserve">The Council’s Delivery Partner will be responsible for collating information on behalf of the Council for monitoring, evaluation, evidence and reporting on a quarterly basis.  An annual report will be submitted to BEIS detailing the success of the programme including: </w:t>
      </w:r>
    </w:p>
    <w:p w14:paraId="75024165" w14:textId="77777777">
      <w:pPr>
        <w:pStyle w:val="ListParagraph"/>
        <w:numPr>
          <w:ilvl w:val="0"/>
          <w:numId w:val="29"/>
        </w:numPr>
        <w:jc w:val="both"/>
        <w:rPr>
          <w:rFonts w:ascii="Arial" w:hAnsi="Arial" w:cs="Arial"/>
          <w:color w:val="000000"/>
          <w:sz w:val="24"/>
          <w:szCs w:val="24"/>
        </w:rPr>
      </w:pPr>
      <w:r>
        <w:rPr>
          <w:rFonts w:ascii="Arial" w:hAnsi="Arial" w:cs="Arial"/>
          <w:color w:val="000000"/>
          <w:sz w:val="24"/>
          <w:szCs w:val="24"/>
        </w:rPr>
        <w:t>targeted household</w:t>
      </w:r>
    </w:p>
    <w:p w14:paraId="7293B15B" w14:textId="77777777">
      <w:pPr>
        <w:pStyle w:val="ListParagraph"/>
        <w:numPr>
          <w:ilvl w:val="0"/>
          <w:numId w:val="29"/>
        </w:numPr>
        <w:jc w:val="both"/>
        <w:rPr>
          <w:rFonts w:ascii="Arial" w:hAnsi="Arial" w:cs="Arial"/>
          <w:color w:val="000000"/>
          <w:sz w:val="24"/>
          <w:szCs w:val="24"/>
        </w:rPr>
      </w:pPr>
      <w:r>
        <w:rPr>
          <w:rFonts w:ascii="Arial" w:hAnsi="Arial" w:cs="Arial"/>
          <w:color w:val="000000"/>
          <w:sz w:val="24"/>
          <w:szCs w:val="24"/>
        </w:rPr>
        <w:t>number of referrals</w:t>
      </w:r>
    </w:p>
    <w:p w14:paraId="2707DF07" w14:textId="77777777">
      <w:pPr>
        <w:pStyle w:val="ListParagraph"/>
        <w:numPr>
          <w:ilvl w:val="0"/>
          <w:numId w:val="29"/>
        </w:numPr>
        <w:jc w:val="both"/>
        <w:rPr>
          <w:rFonts w:ascii="Arial" w:hAnsi="Arial" w:cs="Arial"/>
          <w:color w:val="000000"/>
          <w:sz w:val="24"/>
          <w:szCs w:val="24"/>
        </w:rPr>
      </w:pPr>
      <w:r>
        <w:rPr>
          <w:rFonts w:ascii="Arial" w:hAnsi="Arial" w:cs="Arial"/>
          <w:color w:val="000000"/>
          <w:sz w:val="24"/>
          <w:szCs w:val="24"/>
        </w:rPr>
        <w:t>referral routes</w:t>
      </w:r>
    </w:p>
    <w:p w14:paraId="7403E9D4" w14:textId="77777777">
      <w:pPr>
        <w:pStyle w:val="ListParagraph"/>
        <w:numPr>
          <w:ilvl w:val="0"/>
          <w:numId w:val="29"/>
        </w:numPr>
        <w:jc w:val="both"/>
        <w:rPr>
          <w:rFonts w:ascii="Arial" w:hAnsi="Arial" w:cs="Arial"/>
          <w:color w:val="000000"/>
          <w:sz w:val="24"/>
          <w:szCs w:val="24"/>
        </w:rPr>
      </w:pPr>
      <w:r>
        <w:rPr>
          <w:rFonts w:ascii="Arial" w:hAnsi="Arial" w:cs="Arial"/>
          <w:color w:val="000000"/>
          <w:sz w:val="24"/>
          <w:szCs w:val="24"/>
        </w:rPr>
        <w:t>eligibility criteria</w:t>
      </w:r>
    </w:p>
    <w:p w14:paraId="552E657F" w14:textId="77777777">
      <w:pPr>
        <w:pStyle w:val="ListParagraph"/>
        <w:numPr>
          <w:ilvl w:val="0"/>
          <w:numId w:val="29"/>
        </w:numPr>
        <w:jc w:val="both"/>
        <w:rPr>
          <w:rFonts w:ascii="Arial" w:hAnsi="Arial" w:cs="Arial"/>
          <w:color w:val="000000"/>
          <w:sz w:val="24"/>
          <w:szCs w:val="24"/>
        </w:rPr>
      </w:pPr>
      <w:r>
        <w:rPr>
          <w:rFonts w:ascii="Arial" w:hAnsi="Arial" w:cs="Arial"/>
          <w:color w:val="000000"/>
          <w:szCs w:val="24"/>
        </w:rPr>
        <w:t>number</w:t>
      </w:r>
      <w:r>
        <w:rPr>
          <w:rFonts w:ascii="Arial" w:hAnsi="Arial" w:cs="Arial"/>
          <w:color w:val="000000"/>
          <w:sz w:val="24"/>
          <w:szCs w:val="24"/>
        </w:rPr>
        <w:t xml:space="preserve"> of successful outcomes</w:t>
      </w:r>
    </w:p>
    <w:p w14:paraId="6FF8A029" w14:textId="77777777">
      <w:pPr>
        <w:pStyle w:val="ListParagraph"/>
        <w:numPr>
          <w:ilvl w:val="0"/>
          <w:numId w:val="29"/>
        </w:numPr>
        <w:jc w:val="both"/>
        <w:rPr>
          <w:rFonts w:ascii="Arial" w:hAnsi="Arial" w:cs="Arial"/>
          <w:color w:val="000000"/>
          <w:sz w:val="24"/>
          <w:szCs w:val="24"/>
        </w:rPr>
      </w:pPr>
      <w:r>
        <w:rPr>
          <w:rFonts w:ascii="Arial" w:hAnsi="Arial" w:cs="Arial"/>
          <w:color w:val="000000"/>
          <w:sz w:val="24"/>
          <w:szCs w:val="24"/>
        </w:rPr>
        <w:t>barriers</w:t>
      </w:r>
    </w:p>
    <w:p w14:paraId="30253BBB" w14:textId="77777777">
      <w:pPr>
        <w:pStyle w:val="ListParagraph"/>
        <w:numPr>
          <w:ilvl w:val="0"/>
          <w:numId w:val="29"/>
        </w:numPr>
        <w:jc w:val="both"/>
        <w:rPr>
          <w:rFonts w:ascii="Arial" w:hAnsi="Arial" w:cs="Arial"/>
          <w:color w:val="000000"/>
          <w:sz w:val="24"/>
          <w:szCs w:val="24"/>
        </w:rPr>
      </w:pPr>
      <w:r>
        <w:rPr>
          <w:rFonts w:ascii="Arial" w:hAnsi="Arial" w:cs="Arial"/>
          <w:color w:val="000000"/>
          <w:sz w:val="24"/>
          <w:szCs w:val="24"/>
        </w:rPr>
        <w:t xml:space="preserve">energy efficiency measures supported.  </w:t>
      </w:r>
    </w:p>
    <w:p w14:paraId="1F715212" w14:textId="77777777">
      <w:pPr>
        <w:ind w:left="720"/>
        <w:jc w:val="both"/>
        <w:rPr>
          <w:rFonts w:ascii="Arial" w:hAnsi="Arial" w:cs="Arial"/>
          <w:color w:val="000000"/>
          <w:sz w:val="24"/>
          <w:szCs w:val="24"/>
        </w:rPr>
      </w:pPr>
      <w:r>
        <w:rPr>
          <w:rFonts w:ascii="Arial" w:hAnsi="Arial" w:cs="Arial"/>
          <w:color w:val="000000"/>
          <w:sz w:val="24"/>
          <w:szCs w:val="24"/>
        </w:rPr>
        <w:t>The information detailed in the report will assist BEIS to review the success of flexible eligibility, if it is achieving its objectives of targeting households living in fuel poverty or who are living on a low income and are vulnerable to the effects of living in a cold home.</w:t>
      </w:r>
    </w:p>
    <w:p w14:paraId="59664DE9" w14:textId="77777777">
      <w:pPr>
        <w:rPr>
          <w:rFonts w:ascii="Arial" w:hAnsi="Arial" w:cs="Arial"/>
          <w:b/>
          <w:color w:val="000000"/>
          <w:sz w:val="24"/>
          <w:szCs w:val="24"/>
        </w:rPr>
      </w:pPr>
      <w:r>
        <w:rPr>
          <w:rFonts w:ascii="Arial" w:hAnsi="Arial" w:cs="Arial"/>
          <w:b/>
          <w:color w:val="000000"/>
          <w:sz w:val="24"/>
          <w:szCs w:val="24"/>
        </w:rPr>
        <w:t>8.  Review</w:t>
      </w:r>
    </w:p>
    <w:p w14:paraId="44C7C786" w14:textId="77777777">
      <w:pPr>
        <w:ind w:left="720" w:hanging="720"/>
        <w:rPr>
          <w:rFonts w:ascii="Arial" w:hAnsi="Arial" w:cs="Arial"/>
          <w:color w:val="000000"/>
          <w:sz w:val="24"/>
          <w:szCs w:val="24"/>
        </w:rPr>
      </w:pPr>
      <w:r>
        <w:rPr>
          <w:rFonts w:ascii="Arial" w:hAnsi="Arial" w:cs="Arial"/>
          <w:color w:val="000000"/>
          <w:sz w:val="24"/>
          <w:szCs w:val="24"/>
        </w:rPr>
        <w:t>8.1</w:t>
      </w:r>
      <w:r>
        <w:rPr>
          <w:rFonts w:ascii="Arial" w:hAnsi="Arial" w:cs="Arial"/>
          <w:color w:val="000000"/>
          <w:sz w:val="24"/>
          <w:szCs w:val="24"/>
        </w:rPr>
        <w:tab/>
        <w:t>The scheme will be reviewed annually or at any point there is a significant change to the scheme or the funding available.</w:t>
      </w:r>
    </w:p>
    <w:p w14:paraId="3F3E3E64" w14:textId="77777777">
      <w:pPr>
        <w:ind w:left="720" w:hanging="720"/>
        <w:rPr>
          <w:rFonts w:ascii="Arial" w:hAnsi="Arial" w:cs="Arial"/>
          <w:color w:val="000000"/>
          <w:sz w:val="24"/>
          <w:szCs w:val="24"/>
        </w:rPr>
      </w:pPr>
      <w:r>
        <w:rPr>
          <w:rFonts w:ascii="Arial" w:hAnsi="Arial" w:cs="Arial"/>
          <w:color w:val="000000"/>
          <w:sz w:val="24"/>
          <w:szCs w:val="24"/>
        </w:rPr>
        <w:t xml:space="preserve">8.2 </w:t>
      </w:r>
      <w:r>
        <w:rPr>
          <w:rFonts w:ascii="Arial" w:hAnsi="Arial" w:cs="Arial"/>
          <w:color w:val="000000"/>
          <w:sz w:val="24"/>
          <w:szCs w:val="24"/>
        </w:rPr>
        <w:tab/>
        <w:t>On the review of the scheme the Council has the option to withdraw this statement where the scheme is no longer valid or provides no advantage to the communities of Inverclyde.</w:t>
      </w:r>
    </w:p>
    <w:p w14:paraId="51EC4C95" w14:textId="77777777">
      <w:pPr>
        <w:rPr>
          <w:rFonts w:ascii="Arial" w:hAnsi="Arial" w:cs="Arial"/>
          <w:b/>
          <w:color w:val="000000"/>
          <w:sz w:val="24"/>
          <w:szCs w:val="24"/>
        </w:rPr>
      </w:pPr>
      <w:r>
        <w:rPr>
          <w:rFonts w:ascii="Arial" w:hAnsi="Arial" w:cs="Arial"/>
          <w:b/>
          <w:color w:val="000000"/>
          <w:sz w:val="24"/>
          <w:szCs w:val="24"/>
        </w:rPr>
        <w:t>9.  Statement of Intent Authorisation</w:t>
      </w:r>
    </w:p>
    <w:p w14:paraId="7142CA31" w14:textId="77777777">
      <w:pPr>
        <w:ind w:left="720" w:hanging="720"/>
        <w:rPr>
          <w:rFonts w:ascii="Arial" w:hAnsi="Arial" w:cs="Arial"/>
          <w:color w:val="000000"/>
          <w:sz w:val="24"/>
          <w:szCs w:val="24"/>
        </w:rPr>
      </w:pPr>
      <w:r>
        <w:rPr>
          <w:rFonts w:ascii="Arial" w:hAnsi="Arial" w:cs="Arial"/>
          <w:color w:val="000000"/>
          <w:sz w:val="24"/>
          <w:szCs w:val="24"/>
        </w:rPr>
        <w:t>9.1</w:t>
      </w:r>
      <w:r>
        <w:rPr>
          <w:rFonts w:ascii="Arial" w:hAnsi="Arial" w:cs="Arial"/>
          <w:color w:val="000000"/>
          <w:sz w:val="24"/>
          <w:szCs w:val="24"/>
        </w:rPr>
        <w:tab/>
        <w:t xml:space="preserve">The </w:t>
      </w:r>
      <w:proofErr w:type="spellStart"/>
      <w:r>
        <w:rPr>
          <w:rFonts w:ascii="Arial" w:hAnsi="Arial" w:cs="Arial"/>
          <w:color w:val="000000"/>
          <w:sz w:val="24"/>
          <w:szCs w:val="24"/>
        </w:rPr>
        <w:t>SoI</w:t>
      </w:r>
      <w:proofErr w:type="spellEnd"/>
      <w:r>
        <w:rPr>
          <w:rFonts w:ascii="Arial" w:hAnsi="Arial" w:cs="Arial"/>
          <w:color w:val="000000"/>
          <w:sz w:val="24"/>
          <w:szCs w:val="24"/>
        </w:rPr>
        <w:t xml:space="preserve"> should be signed by the Chief Executive for LA or other senior                                              nominated officer at Director Level, on their </w:t>
      </w:r>
      <w:proofErr w:type="gramStart"/>
      <w:r>
        <w:rPr>
          <w:rFonts w:ascii="Arial" w:hAnsi="Arial" w:cs="Arial"/>
          <w:color w:val="000000"/>
          <w:sz w:val="24"/>
          <w:szCs w:val="24"/>
        </w:rPr>
        <w:t>behalf</w:t>
      </w:r>
      <w:proofErr w:type="gramEnd"/>
    </w:p>
    <w:p w14:paraId="2A53A061" w14:textId="77777777">
      <w:pPr>
        <w:ind w:left="720" w:hanging="720"/>
        <w:rPr>
          <w:rFonts w:ascii="Arial" w:hAnsi="Arial" w:cs="Arial"/>
          <w:b/>
          <w:color w:val="000000"/>
          <w:sz w:val="24"/>
          <w:szCs w:val="24"/>
        </w:rPr>
      </w:pPr>
      <w:r>
        <w:rPr>
          <w:rFonts w:ascii="Arial" w:hAnsi="Arial" w:cs="Arial"/>
          <w:b/>
          <w:color w:val="000000"/>
          <w:sz w:val="24"/>
          <w:szCs w:val="24"/>
        </w:rPr>
        <w:t xml:space="preserve">Signed: </w:t>
      </w:r>
      <w:r>
        <w:rPr>
          <w:noProof/>
          <w:lang w:eastAsia="en-GB"/>
        </w:rPr>
        <w:drawing>
          <wp:inline distT="0" distB="0" distL="0" distR="0" wp14:anchorId="63654EB8" wp14:editId="0EE6C139">
            <wp:extent cx="2498400" cy="648000"/>
            <wp:effectExtent l="0" t="0" r="0" b="0"/>
            <wp:docPr id="2"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na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8400" cy="648000"/>
                    </a:xfrm>
                    <a:prstGeom prst="rect">
                      <a:avLst/>
                    </a:prstGeom>
                    <a:noFill/>
                    <a:ln>
                      <a:noFill/>
                    </a:ln>
                  </pic:spPr>
                </pic:pic>
              </a:graphicData>
            </a:graphic>
          </wp:inline>
        </w:drawing>
      </w:r>
      <w:r>
        <w:rPr>
          <w:rFonts w:ascii="Arial" w:hAnsi="Arial" w:cs="Arial"/>
          <w:b/>
          <w:color w:val="000000"/>
          <w:sz w:val="24"/>
          <w:szCs w:val="24"/>
        </w:rPr>
        <w:tab/>
        <w:t xml:space="preserve">       </w:t>
      </w:r>
    </w:p>
    <w:p w14:paraId="653C7656" w14:textId="77777777">
      <w:pPr>
        <w:ind w:left="720" w:hanging="720"/>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ab/>
      </w:r>
    </w:p>
    <w:p w14:paraId="5B94BDEC" w14:textId="77777777">
      <w:pPr>
        <w:ind w:left="720" w:hanging="720"/>
        <w:rPr>
          <w:rFonts w:ascii="Arial" w:hAnsi="Arial" w:cs="Arial"/>
          <w:b/>
          <w:color w:val="000000"/>
          <w:sz w:val="24"/>
          <w:szCs w:val="24"/>
        </w:rPr>
      </w:pPr>
      <w:r>
        <w:rPr>
          <w:rFonts w:ascii="Arial" w:hAnsi="Arial" w:cs="Arial"/>
          <w:b/>
          <w:color w:val="000000"/>
          <w:sz w:val="24"/>
          <w:szCs w:val="24"/>
        </w:rPr>
        <w:t>Name:</w:t>
      </w:r>
      <w:r>
        <w:rPr>
          <w:rFonts w:ascii="Arial" w:hAnsi="Arial" w:cs="Arial"/>
          <w:b/>
          <w:color w:val="000000"/>
          <w:sz w:val="24"/>
          <w:szCs w:val="24"/>
        </w:rPr>
        <w:tab/>
        <w:t>Stuart Jamieson</w:t>
      </w:r>
    </w:p>
    <w:p w14:paraId="7446EA29" w14:textId="77777777">
      <w:pPr>
        <w:ind w:left="720" w:hanging="720"/>
        <w:rPr>
          <w:rFonts w:ascii="Arial" w:hAnsi="Arial" w:cs="Arial"/>
          <w:b/>
          <w:color w:val="000000"/>
          <w:sz w:val="24"/>
          <w:szCs w:val="24"/>
        </w:rPr>
      </w:pPr>
    </w:p>
    <w:p w14:paraId="5F922885" w14:textId="77777777">
      <w:pPr>
        <w:ind w:left="720" w:hanging="720"/>
        <w:rPr>
          <w:rFonts w:ascii="Arial" w:hAnsi="Arial" w:cs="Arial"/>
          <w:b/>
          <w:color w:val="000000"/>
          <w:sz w:val="24"/>
          <w:szCs w:val="24"/>
        </w:rPr>
      </w:pPr>
      <w:r>
        <w:rPr>
          <w:rFonts w:ascii="Arial" w:hAnsi="Arial" w:cs="Arial"/>
          <w:b/>
          <w:color w:val="000000"/>
          <w:sz w:val="24"/>
          <w:szCs w:val="24"/>
        </w:rPr>
        <w:t>Position:</w:t>
      </w:r>
      <w:r>
        <w:rPr>
          <w:rFonts w:ascii="Arial" w:hAnsi="Arial" w:cs="Arial"/>
          <w:b/>
          <w:color w:val="000000"/>
          <w:sz w:val="24"/>
          <w:szCs w:val="24"/>
        </w:rPr>
        <w:tab/>
        <w:t>Interim Service Director Environment &amp; Economic Recovery</w:t>
      </w:r>
    </w:p>
    <w:sectPr>
      <w:footerReference w:type="default" r:id="rId1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F3C84" w14:textId="77777777">
      <w:pPr>
        <w:spacing w:after="0"/>
      </w:pPr>
      <w:r>
        <w:separator/>
      </w:r>
    </w:p>
  </w:endnote>
  <w:endnote w:type="continuationSeparator" w:id="0">
    <w:p w14:paraId="5E4A4001"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726211"/>
      <w:docPartObj>
        <w:docPartGallery w:val="Page Numbers (Bottom of Page)"/>
        <w:docPartUnique/>
      </w:docPartObj>
    </w:sdtPr>
    <w:sdtEndPr>
      <w:rPr>
        <w:noProof/>
      </w:rPr>
    </w:sdtEndPr>
    <w:sdtContent>
      <w:p w14:paraId="76FDB530" w14:textId="77777777">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7E1CED7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7291D" w14:textId="77777777">
      <w:pPr>
        <w:spacing w:after="0"/>
      </w:pPr>
      <w:r>
        <w:separator/>
      </w:r>
    </w:p>
  </w:footnote>
  <w:footnote w:type="continuationSeparator" w:id="0">
    <w:p w14:paraId="60D16F4E" w14:textId="77777777">
      <w:pPr>
        <w:spacing w:after="0"/>
      </w:pPr>
      <w:r>
        <w:continuationSeparator/>
      </w:r>
    </w:p>
  </w:footnote>
  <w:footnote w:id="1">
    <w:p w14:paraId="10782E78" w14:textId="77777777">
      <w:pPr>
        <w:pStyle w:val="FootnoteText"/>
      </w:pPr>
      <w:r>
        <w:rPr>
          <w:rStyle w:val="FootnoteReference"/>
        </w:rPr>
        <w:footnoteRef/>
      </w:r>
      <w:r>
        <w:t xml:space="preserve"> Scottish House Condition Survey 2016</w:t>
      </w:r>
    </w:p>
  </w:footnote>
  <w:footnote w:id="2">
    <w:p w14:paraId="6D9B606C" w14:textId="77777777">
      <w:pPr>
        <w:pStyle w:val="FootnoteText"/>
      </w:pPr>
      <w:r>
        <w:rPr>
          <w:rStyle w:val="FootnoteReference"/>
        </w:rPr>
        <w:footnoteRef/>
      </w:r>
      <w:r>
        <w:t xml:space="preserve"> Scottish Index of Multiple Deprivation 2015</w:t>
      </w:r>
    </w:p>
    <w:p w14:paraId="7CCEFD3A"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D51"/>
    <w:multiLevelType w:val="hybridMultilevel"/>
    <w:tmpl w:val="8FF63624"/>
    <w:lvl w:ilvl="0" w:tplc="08090001">
      <w:start w:val="1"/>
      <w:numFmt w:val="bullet"/>
      <w:lvlText w:val=""/>
      <w:lvlJc w:val="left"/>
      <w:pPr>
        <w:ind w:left="6120" w:hanging="360"/>
      </w:pPr>
      <w:rPr>
        <w:rFonts w:ascii="Symbol" w:hAnsi="Symbol" w:hint="default"/>
      </w:rPr>
    </w:lvl>
    <w:lvl w:ilvl="1" w:tplc="08090003" w:tentative="1">
      <w:start w:val="1"/>
      <w:numFmt w:val="bullet"/>
      <w:lvlText w:val="o"/>
      <w:lvlJc w:val="left"/>
      <w:pPr>
        <w:ind w:left="6840" w:hanging="360"/>
      </w:pPr>
      <w:rPr>
        <w:rFonts w:ascii="Courier New" w:hAnsi="Courier New" w:cs="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cs="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cs="Courier New" w:hint="default"/>
      </w:rPr>
    </w:lvl>
    <w:lvl w:ilvl="8" w:tplc="08090005" w:tentative="1">
      <w:start w:val="1"/>
      <w:numFmt w:val="bullet"/>
      <w:lvlText w:val=""/>
      <w:lvlJc w:val="left"/>
      <w:pPr>
        <w:ind w:left="11880" w:hanging="360"/>
      </w:pPr>
      <w:rPr>
        <w:rFonts w:ascii="Wingdings" w:hAnsi="Wingdings" w:hint="default"/>
      </w:rPr>
    </w:lvl>
  </w:abstractNum>
  <w:abstractNum w:abstractNumId="1" w15:restartNumberingAfterBreak="0">
    <w:nsid w:val="02FB022A"/>
    <w:multiLevelType w:val="hybridMultilevel"/>
    <w:tmpl w:val="595230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6659CE"/>
    <w:multiLevelType w:val="hybridMultilevel"/>
    <w:tmpl w:val="0366A77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 w15:restartNumberingAfterBreak="0">
    <w:nsid w:val="06A92BFF"/>
    <w:multiLevelType w:val="hybridMultilevel"/>
    <w:tmpl w:val="3C3EA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B0158"/>
    <w:multiLevelType w:val="hybridMultilevel"/>
    <w:tmpl w:val="D92642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45263A"/>
    <w:multiLevelType w:val="hybridMultilevel"/>
    <w:tmpl w:val="531A771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AE0539"/>
    <w:multiLevelType w:val="hybridMultilevel"/>
    <w:tmpl w:val="2F7036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DC4BCC"/>
    <w:multiLevelType w:val="hybridMultilevel"/>
    <w:tmpl w:val="D6BEC968"/>
    <w:lvl w:ilvl="0" w:tplc="9CB071A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2128458B"/>
    <w:multiLevelType w:val="hybridMultilevel"/>
    <w:tmpl w:val="2BA024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A9768B"/>
    <w:multiLevelType w:val="hybridMultilevel"/>
    <w:tmpl w:val="F168A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45253C"/>
    <w:multiLevelType w:val="hybridMultilevel"/>
    <w:tmpl w:val="18142D9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F72699"/>
    <w:multiLevelType w:val="hybridMultilevel"/>
    <w:tmpl w:val="5A7014E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F60FB2"/>
    <w:multiLevelType w:val="hybridMultilevel"/>
    <w:tmpl w:val="323EB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834BCD"/>
    <w:multiLevelType w:val="hybridMultilevel"/>
    <w:tmpl w:val="6C743B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6D476F1"/>
    <w:multiLevelType w:val="hybridMultilevel"/>
    <w:tmpl w:val="ED5A326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902E29"/>
    <w:multiLevelType w:val="hybridMultilevel"/>
    <w:tmpl w:val="272286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9296B4A"/>
    <w:multiLevelType w:val="hybridMultilevel"/>
    <w:tmpl w:val="70D04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A4C85"/>
    <w:multiLevelType w:val="hybridMultilevel"/>
    <w:tmpl w:val="8A7E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0B24C2"/>
    <w:multiLevelType w:val="hybridMultilevel"/>
    <w:tmpl w:val="86D05818"/>
    <w:lvl w:ilvl="0" w:tplc="0809000F">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11099F"/>
    <w:multiLevelType w:val="hybridMultilevel"/>
    <w:tmpl w:val="C14AB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37F7E39"/>
    <w:multiLevelType w:val="hybridMultilevel"/>
    <w:tmpl w:val="3B6E64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9F37574"/>
    <w:multiLevelType w:val="hybridMultilevel"/>
    <w:tmpl w:val="8F5A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7A3F40"/>
    <w:multiLevelType w:val="hybridMultilevel"/>
    <w:tmpl w:val="9984E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401785"/>
    <w:multiLevelType w:val="hybridMultilevel"/>
    <w:tmpl w:val="B414E43A"/>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4" w15:restartNumberingAfterBreak="0">
    <w:nsid w:val="5EA07A9F"/>
    <w:multiLevelType w:val="hybridMultilevel"/>
    <w:tmpl w:val="024C789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B04BF4"/>
    <w:multiLevelType w:val="hybridMultilevel"/>
    <w:tmpl w:val="746264E2"/>
    <w:lvl w:ilvl="0" w:tplc="0809000F">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53261E"/>
    <w:multiLevelType w:val="hybridMultilevel"/>
    <w:tmpl w:val="09B8194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7F11BC"/>
    <w:multiLevelType w:val="hybridMultilevel"/>
    <w:tmpl w:val="52BA3E5C"/>
    <w:lvl w:ilvl="0" w:tplc="490823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6B312E"/>
    <w:multiLevelType w:val="hybridMultilevel"/>
    <w:tmpl w:val="D22C6E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30E24AA"/>
    <w:multiLevelType w:val="hybridMultilevel"/>
    <w:tmpl w:val="A00A12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2C14C3"/>
    <w:multiLevelType w:val="hybridMultilevel"/>
    <w:tmpl w:val="47D4ED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89256412">
    <w:abstractNumId w:val="12"/>
  </w:num>
  <w:num w:numId="2" w16cid:durableId="638613663">
    <w:abstractNumId w:val="7"/>
  </w:num>
  <w:num w:numId="3" w16cid:durableId="1628585502">
    <w:abstractNumId w:val="27"/>
  </w:num>
  <w:num w:numId="4" w16cid:durableId="1327592693">
    <w:abstractNumId w:val="22"/>
  </w:num>
  <w:num w:numId="5" w16cid:durableId="289946889">
    <w:abstractNumId w:val="9"/>
  </w:num>
  <w:num w:numId="6" w16cid:durableId="1062755094">
    <w:abstractNumId w:val="30"/>
  </w:num>
  <w:num w:numId="7" w16cid:durableId="530656374">
    <w:abstractNumId w:val="14"/>
  </w:num>
  <w:num w:numId="8" w16cid:durableId="630790159">
    <w:abstractNumId w:val="29"/>
  </w:num>
  <w:num w:numId="9" w16cid:durableId="837693130">
    <w:abstractNumId w:val="17"/>
  </w:num>
  <w:num w:numId="10" w16cid:durableId="92016563">
    <w:abstractNumId w:val="8"/>
  </w:num>
  <w:num w:numId="11" w16cid:durableId="564418197">
    <w:abstractNumId w:val="6"/>
  </w:num>
  <w:num w:numId="12" w16cid:durableId="1214318092">
    <w:abstractNumId w:val="23"/>
  </w:num>
  <w:num w:numId="13" w16cid:durableId="168762369">
    <w:abstractNumId w:val="19"/>
  </w:num>
  <w:num w:numId="14" w16cid:durableId="217666884">
    <w:abstractNumId w:val="15"/>
  </w:num>
  <w:num w:numId="15" w16cid:durableId="1807233476">
    <w:abstractNumId w:val="10"/>
  </w:num>
  <w:num w:numId="16" w16cid:durableId="469785755">
    <w:abstractNumId w:val="24"/>
  </w:num>
  <w:num w:numId="17" w16cid:durableId="393895672">
    <w:abstractNumId w:val="26"/>
  </w:num>
  <w:num w:numId="18" w16cid:durableId="1826361752">
    <w:abstractNumId w:val="11"/>
  </w:num>
  <w:num w:numId="19" w16cid:durableId="1772240893">
    <w:abstractNumId w:val="5"/>
  </w:num>
  <w:num w:numId="20" w16cid:durableId="1564565894">
    <w:abstractNumId w:val="18"/>
  </w:num>
  <w:num w:numId="21" w16cid:durableId="1629242972">
    <w:abstractNumId w:val="25"/>
  </w:num>
  <w:num w:numId="22" w16cid:durableId="90047751">
    <w:abstractNumId w:val="2"/>
  </w:num>
  <w:num w:numId="23" w16cid:durableId="184171765">
    <w:abstractNumId w:val="28"/>
  </w:num>
  <w:num w:numId="24" w16cid:durableId="1662926129">
    <w:abstractNumId w:val="20"/>
  </w:num>
  <w:num w:numId="25" w16cid:durableId="1360469207">
    <w:abstractNumId w:val="16"/>
  </w:num>
  <w:num w:numId="26" w16cid:durableId="1208567226">
    <w:abstractNumId w:val="0"/>
  </w:num>
  <w:num w:numId="27" w16cid:durableId="649401991">
    <w:abstractNumId w:val="1"/>
  </w:num>
  <w:num w:numId="28" w16cid:durableId="62022028">
    <w:abstractNumId w:val="3"/>
  </w:num>
  <w:num w:numId="29" w16cid:durableId="1717659150">
    <w:abstractNumId w:val="13"/>
  </w:num>
  <w:num w:numId="30" w16cid:durableId="1547528958">
    <w:abstractNumId w:val="21"/>
  </w:num>
  <w:num w:numId="31" w16cid:durableId="797531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A0DB476-608B-4F6F-A154-562E2115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pPr>
    <w:rPr>
      <w:rFonts w:ascii="Arial" w:hAnsi="Arial" w:cs="Arial"/>
      <w:color w:val="000000"/>
      <w:sz w:val="24"/>
      <w:szCs w:val="24"/>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pPr>
    <w:rPr>
      <w:rFonts w:ascii="Arial" w:hAnsi="Arial" w:cs="Arial"/>
      <w:sz w:val="20"/>
      <w:szCs w:val="20"/>
    </w:rPr>
  </w:style>
  <w:style w:type="character" w:customStyle="1" w:styleId="FootnoteTextChar">
    <w:name w:val="Footnote Text Char"/>
    <w:basedOn w:val="DefaultParagraphFont"/>
    <w:link w:val="FootnoteText"/>
    <w:uiPriority w:val="99"/>
    <w:rPr>
      <w:rFonts w:ascii="Arial" w:hAnsi="Arial" w:cs="Arial"/>
      <w:sz w:val="20"/>
      <w:szCs w:val="20"/>
    </w:rPr>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http://www.energysavingtrust.org.uk/scotland/home-energy-scotland" TargetMode="External"/><Relationship Id="rId4" Type="http://schemas.openxmlformats.org/officeDocument/2006/relationships/settings" Target="settings.xml"/><Relationship Id="rId9" Type="http://schemas.openxmlformats.org/officeDocument/2006/relationships/hyperlink" Target="https://www.inverclyde.gov.uk/hous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D98FE-3473-4032-941F-A5F77B51C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invictad</dc:creator>
  <cp:lastModifiedBy>Suzanne Black</cp:lastModifiedBy>
  <cp:revision>3</cp:revision>
  <cp:lastPrinted>2018-02-14T16:25:00Z</cp:lastPrinted>
  <dcterms:created xsi:type="dcterms:W3CDTF">2021-09-01T11:08:00Z</dcterms:created>
  <dcterms:modified xsi:type="dcterms:W3CDTF">2023-03-31T13:58:00Z</dcterms:modified>
</cp:coreProperties>
</file>